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A6D18">
      <w:pPr>
        <w:pStyle w:val="4"/>
        <w:pageBreakBefore w:val="0"/>
        <w:widowControl w:val="0"/>
        <w:kinsoku/>
        <w:overflowPunct/>
        <w:topLinePunct w:val="0"/>
        <w:autoSpaceDE/>
        <w:autoSpaceDN/>
        <w:bidi w:val="0"/>
        <w:spacing w:before="0" w:after="0" w:line="360" w:lineRule="auto"/>
        <w:ind w:firstLine="3253" w:firstLineChars="900"/>
        <w:textAlignment w:val="auto"/>
        <w:rPr>
          <w:rFonts w:hint="eastAsia" w:ascii="Times New Roman" w:hAnsi="Times New Roman" w:eastAsia="宋体"/>
          <w:sz w:val="36"/>
          <w:szCs w:val="36"/>
        </w:rPr>
      </w:pPr>
    </w:p>
    <w:p w14:paraId="2CFF9B3C">
      <w:pPr>
        <w:pStyle w:val="4"/>
        <w:pageBreakBefore w:val="0"/>
        <w:widowControl w:val="0"/>
        <w:kinsoku/>
        <w:overflowPunct/>
        <w:topLinePunct w:val="0"/>
        <w:autoSpaceDE/>
        <w:autoSpaceDN/>
        <w:bidi w:val="0"/>
        <w:spacing w:before="0" w:after="0" w:line="360" w:lineRule="auto"/>
        <w:ind w:firstLine="3253" w:firstLineChars="900"/>
        <w:textAlignment w:val="auto"/>
        <w:rPr>
          <w:rFonts w:hint="eastAsia" w:ascii="Times New Roman" w:hAnsi="Times New Roman" w:eastAsia="宋体"/>
          <w:sz w:val="36"/>
          <w:szCs w:val="36"/>
        </w:rPr>
      </w:pPr>
    </w:p>
    <w:p w14:paraId="22DC862A">
      <w:pPr>
        <w:pStyle w:val="4"/>
        <w:pageBreakBefore w:val="0"/>
        <w:widowControl w:val="0"/>
        <w:kinsoku/>
        <w:overflowPunct/>
        <w:topLinePunct w:val="0"/>
        <w:autoSpaceDE/>
        <w:autoSpaceDN/>
        <w:bidi w:val="0"/>
        <w:spacing w:before="0" w:after="0" w:line="360" w:lineRule="auto"/>
        <w:textAlignment w:val="auto"/>
        <w:rPr>
          <w:rFonts w:hint="eastAsia" w:ascii="Times New Roman" w:hAnsi="Times New Roman" w:eastAsia="宋体"/>
          <w:sz w:val="36"/>
          <w:szCs w:val="36"/>
        </w:rPr>
      </w:pPr>
    </w:p>
    <w:p w14:paraId="7585D871">
      <w:pPr>
        <w:pStyle w:val="4"/>
        <w:pageBreakBefore w:val="0"/>
        <w:widowControl w:val="0"/>
        <w:kinsoku/>
        <w:overflowPunct/>
        <w:topLinePunct w:val="0"/>
        <w:autoSpaceDE/>
        <w:autoSpaceDN/>
        <w:bidi w:val="0"/>
        <w:spacing w:before="0" w:after="0" w:line="360" w:lineRule="auto"/>
        <w:ind w:firstLine="3253" w:firstLineChars="900"/>
        <w:textAlignment w:val="auto"/>
        <w:rPr>
          <w:rFonts w:hint="eastAsia" w:ascii="Times New Roman" w:hAnsi="Times New Roman" w:eastAsia="宋体"/>
          <w:sz w:val="36"/>
          <w:szCs w:val="36"/>
        </w:rPr>
      </w:pPr>
    </w:p>
    <w:p w14:paraId="198ED6FD">
      <w:pPr>
        <w:pageBreakBefore w:val="0"/>
        <w:widowControl w:val="0"/>
        <w:kinsoku/>
        <w:overflowPunct/>
        <w:topLinePunct w:val="0"/>
        <w:autoSpaceDE/>
        <w:autoSpaceDN/>
        <w:bidi w:val="0"/>
        <w:spacing w:line="360" w:lineRule="auto"/>
        <w:jc w:val="center"/>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北京市第二医院伦理审查委员会</w:t>
      </w:r>
    </w:p>
    <w:p w14:paraId="6BD13F8E">
      <w:pPr>
        <w:pageBreakBefore w:val="0"/>
        <w:widowControl w:val="0"/>
        <w:kinsoku/>
        <w:overflowPunct/>
        <w:topLinePunct w:val="0"/>
        <w:autoSpaceDE/>
        <w:autoSpaceDN/>
        <w:bidi w:val="0"/>
        <w:spacing w:line="360" w:lineRule="auto"/>
        <w:jc w:val="center"/>
        <w:textAlignment w:val="auto"/>
        <w:rPr>
          <w:rFonts w:hint="default"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伦理审查送审指南</w:t>
      </w:r>
    </w:p>
    <w:p w14:paraId="21BEE485">
      <w:pPr>
        <w:pageBreakBefore w:val="0"/>
        <w:widowControl w:val="0"/>
        <w:kinsoku/>
        <w:overflowPunct/>
        <w:topLinePunct w:val="0"/>
        <w:autoSpaceDE/>
        <w:autoSpaceDN/>
        <w:bidi w:val="0"/>
        <w:spacing w:line="360" w:lineRule="auto"/>
        <w:textAlignment w:val="auto"/>
        <w:rPr>
          <w:rFonts w:hint="eastAsia"/>
          <w:sz w:val="36"/>
          <w:szCs w:val="36"/>
        </w:rPr>
      </w:pPr>
    </w:p>
    <w:p w14:paraId="274B8BEF">
      <w:pPr>
        <w:pageBreakBefore w:val="0"/>
        <w:widowControl w:val="0"/>
        <w:kinsoku/>
        <w:overflowPunct/>
        <w:topLinePunct w:val="0"/>
        <w:autoSpaceDE/>
        <w:autoSpaceDN/>
        <w:bidi w:val="0"/>
        <w:spacing w:line="360" w:lineRule="auto"/>
        <w:textAlignment w:val="auto"/>
        <w:rPr>
          <w:rFonts w:hint="eastAsia"/>
          <w:sz w:val="36"/>
          <w:szCs w:val="36"/>
        </w:rPr>
      </w:pPr>
    </w:p>
    <w:p w14:paraId="1290821D">
      <w:pPr>
        <w:pageBreakBefore w:val="0"/>
        <w:widowControl w:val="0"/>
        <w:kinsoku/>
        <w:overflowPunct/>
        <w:topLinePunct w:val="0"/>
        <w:autoSpaceDE/>
        <w:autoSpaceDN/>
        <w:bidi w:val="0"/>
        <w:spacing w:line="360" w:lineRule="auto"/>
        <w:textAlignment w:val="auto"/>
        <w:rPr>
          <w:rFonts w:hint="eastAsia"/>
          <w:sz w:val="36"/>
          <w:szCs w:val="36"/>
        </w:rPr>
      </w:pPr>
    </w:p>
    <w:p w14:paraId="6F75C96A">
      <w:pPr>
        <w:pageBreakBefore w:val="0"/>
        <w:widowControl w:val="0"/>
        <w:kinsoku/>
        <w:overflowPunct/>
        <w:topLinePunct w:val="0"/>
        <w:autoSpaceDE/>
        <w:autoSpaceDN/>
        <w:bidi w:val="0"/>
        <w:spacing w:line="360" w:lineRule="auto"/>
        <w:textAlignment w:val="auto"/>
        <w:rPr>
          <w:rFonts w:hint="eastAsia"/>
          <w:sz w:val="36"/>
          <w:szCs w:val="36"/>
        </w:rPr>
      </w:pPr>
    </w:p>
    <w:tbl>
      <w:tblPr>
        <w:tblStyle w:val="14"/>
        <w:tblpPr w:leftFromText="180" w:rightFromText="180" w:vertAnchor="text" w:horzAnchor="page" w:tblpX="2730" w:tblpY="517"/>
        <w:tblOverlap w:val="never"/>
        <w:tblW w:w="7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1"/>
        <w:gridCol w:w="2883"/>
      </w:tblGrid>
      <w:tr w14:paraId="699C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1" w:type="dxa"/>
            <w:vAlign w:val="center"/>
          </w:tcPr>
          <w:p w14:paraId="5F5A2434">
            <w:pPr>
              <w:pageBreakBefore w:val="0"/>
              <w:widowControl w:val="0"/>
              <w:kinsoku/>
              <w:overflowPunct/>
              <w:topLinePunct w:val="0"/>
              <w:autoSpaceDE/>
              <w:autoSpaceDN/>
              <w:bidi w:val="0"/>
              <w:spacing w:line="360" w:lineRule="auto"/>
              <w:ind w:right="-512" w:rightChars="-244"/>
              <w:jc w:val="left"/>
              <w:textAlignment w:val="auto"/>
              <w:rPr>
                <w:sz w:val="24"/>
                <w:szCs w:val="21"/>
              </w:rPr>
            </w:pPr>
            <w:r>
              <w:rPr>
                <w:sz w:val="24"/>
                <w:szCs w:val="21"/>
              </w:rPr>
              <w:t>文件编码：</w:t>
            </w:r>
            <w:r>
              <w:rPr>
                <w:rFonts w:hint="eastAsia"/>
                <w:sz w:val="24"/>
                <w:szCs w:val="21"/>
                <w:lang w:val="en-US" w:eastAsia="zh-CN"/>
              </w:rPr>
              <w:t>IRB ZN/</w:t>
            </w:r>
            <w:r>
              <w:rPr>
                <w:rFonts w:hint="eastAsia"/>
                <w:sz w:val="24"/>
                <w:szCs w:val="21"/>
              </w:rPr>
              <w:t>0</w:t>
            </w:r>
            <w:r>
              <w:rPr>
                <w:rFonts w:hint="eastAsia"/>
                <w:sz w:val="24"/>
                <w:szCs w:val="21"/>
                <w:lang w:val="en-US" w:eastAsia="zh-CN"/>
              </w:rPr>
              <w:t>1.</w:t>
            </w:r>
            <w:r>
              <w:rPr>
                <w:rFonts w:hint="eastAsia"/>
                <w:sz w:val="24"/>
                <w:szCs w:val="21"/>
              </w:rPr>
              <w:t>01</w:t>
            </w:r>
            <w:r>
              <w:rPr>
                <w:rFonts w:hint="eastAsia"/>
                <w:sz w:val="24"/>
                <w:szCs w:val="21"/>
                <w:lang w:val="en-US" w:eastAsia="zh-CN"/>
              </w:rPr>
              <w:t>/0</w:t>
            </w:r>
            <w:r>
              <w:rPr>
                <w:rFonts w:hint="eastAsia"/>
                <w:sz w:val="24"/>
                <w:szCs w:val="21"/>
              </w:rPr>
              <w:t>1.0</w:t>
            </w:r>
          </w:p>
        </w:tc>
        <w:tc>
          <w:tcPr>
            <w:tcW w:w="2883" w:type="dxa"/>
            <w:vAlign w:val="center"/>
          </w:tcPr>
          <w:p w14:paraId="2EFCA134">
            <w:pPr>
              <w:pageBreakBefore w:val="0"/>
              <w:widowControl w:val="0"/>
              <w:kinsoku/>
              <w:overflowPunct/>
              <w:topLinePunct w:val="0"/>
              <w:autoSpaceDE/>
              <w:autoSpaceDN/>
              <w:bidi w:val="0"/>
              <w:spacing w:line="360" w:lineRule="auto"/>
              <w:ind w:right="-512" w:rightChars="-244"/>
              <w:jc w:val="left"/>
              <w:textAlignment w:val="auto"/>
              <w:rPr>
                <w:sz w:val="24"/>
                <w:szCs w:val="21"/>
              </w:rPr>
            </w:pPr>
            <w:r>
              <w:rPr>
                <w:sz w:val="24"/>
                <w:szCs w:val="21"/>
              </w:rPr>
              <w:t>版 本 号：1.0</w:t>
            </w:r>
          </w:p>
        </w:tc>
      </w:tr>
      <w:tr w14:paraId="5C9E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1" w:type="dxa"/>
            <w:vAlign w:val="center"/>
          </w:tcPr>
          <w:p w14:paraId="62428704">
            <w:pPr>
              <w:pageBreakBefore w:val="0"/>
              <w:widowControl w:val="0"/>
              <w:kinsoku/>
              <w:overflowPunct/>
              <w:topLinePunct w:val="0"/>
              <w:autoSpaceDE/>
              <w:autoSpaceDN/>
              <w:bidi w:val="0"/>
              <w:spacing w:line="360" w:lineRule="auto"/>
              <w:ind w:right="-512" w:rightChars="-244"/>
              <w:textAlignment w:val="auto"/>
              <w:rPr>
                <w:sz w:val="24"/>
              </w:rPr>
            </w:pPr>
            <w:r>
              <w:rPr>
                <w:sz w:val="24"/>
              </w:rPr>
              <w:t>拟 定 人：</w:t>
            </w:r>
          </w:p>
        </w:tc>
        <w:tc>
          <w:tcPr>
            <w:tcW w:w="2883" w:type="dxa"/>
            <w:vAlign w:val="center"/>
          </w:tcPr>
          <w:p w14:paraId="072A7629">
            <w:pPr>
              <w:pageBreakBefore w:val="0"/>
              <w:widowControl w:val="0"/>
              <w:kinsoku/>
              <w:overflowPunct/>
              <w:topLinePunct w:val="0"/>
              <w:autoSpaceDE/>
              <w:autoSpaceDN/>
              <w:bidi w:val="0"/>
              <w:spacing w:line="360" w:lineRule="auto"/>
              <w:ind w:right="-512" w:rightChars="-244"/>
              <w:textAlignment w:val="auto"/>
              <w:rPr>
                <w:sz w:val="24"/>
              </w:rPr>
            </w:pPr>
            <w:r>
              <w:rPr>
                <w:sz w:val="24"/>
              </w:rPr>
              <w:t>拟定时间：</w:t>
            </w:r>
          </w:p>
        </w:tc>
      </w:tr>
      <w:tr w14:paraId="7EE4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1" w:type="dxa"/>
            <w:vAlign w:val="center"/>
          </w:tcPr>
          <w:p w14:paraId="2B4C524F">
            <w:pPr>
              <w:pageBreakBefore w:val="0"/>
              <w:widowControl w:val="0"/>
              <w:kinsoku/>
              <w:overflowPunct/>
              <w:topLinePunct w:val="0"/>
              <w:autoSpaceDE/>
              <w:autoSpaceDN/>
              <w:bidi w:val="0"/>
              <w:spacing w:line="360" w:lineRule="auto"/>
              <w:ind w:right="-512" w:rightChars="-244"/>
              <w:textAlignment w:val="auto"/>
              <w:rPr>
                <w:sz w:val="24"/>
              </w:rPr>
            </w:pPr>
            <w:r>
              <w:rPr>
                <w:sz w:val="24"/>
              </w:rPr>
              <w:t>审 核 人：</w:t>
            </w:r>
          </w:p>
        </w:tc>
        <w:tc>
          <w:tcPr>
            <w:tcW w:w="2883" w:type="dxa"/>
            <w:vAlign w:val="center"/>
          </w:tcPr>
          <w:p w14:paraId="2E054A30">
            <w:pPr>
              <w:pageBreakBefore w:val="0"/>
              <w:widowControl w:val="0"/>
              <w:kinsoku/>
              <w:overflowPunct/>
              <w:topLinePunct w:val="0"/>
              <w:autoSpaceDE/>
              <w:autoSpaceDN/>
              <w:bidi w:val="0"/>
              <w:spacing w:line="360" w:lineRule="auto"/>
              <w:ind w:right="-512" w:rightChars="-244"/>
              <w:textAlignment w:val="auto"/>
              <w:rPr>
                <w:sz w:val="24"/>
              </w:rPr>
            </w:pPr>
            <w:r>
              <w:rPr>
                <w:sz w:val="24"/>
              </w:rPr>
              <w:t>审核时间：</w:t>
            </w:r>
          </w:p>
        </w:tc>
      </w:tr>
      <w:tr w14:paraId="7891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1" w:type="dxa"/>
            <w:vAlign w:val="center"/>
          </w:tcPr>
          <w:p w14:paraId="46DD3DB7">
            <w:pPr>
              <w:pageBreakBefore w:val="0"/>
              <w:widowControl w:val="0"/>
              <w:kinsoku/>
              <w:overflowPunct/>
              <w:topLinePunct w:val="0"/>
              <w:autoSpaceDE/>
              <w:autoSpaceDN/>
              <w:bidi w:val="0"/>
              <w:spacing w:line="360" w:lineRule="auto"/>
              <w:ind w:right="-512" w:rightChars="-244"/>
              <w:textAlignment w:val="auto"/>
              <w:rPr>
                <w:sz w:val="24"/>
              </w:rPr>
            </w:pPr>
            <w:r>
              <w:rPr>
                <w:sz w:val="24"/>
              </w:rPr>
              <w:t>批 准 人：</w:t>
            </w:r>
          </w:p>
        </w:tc>
        <w:tc>
          <w:tcPr>
            <w:tcW w:w="2883" w:type="dxa"/>
            <w:vAlign w:val="center"/>
          </w:tcPr>
          <w:p w14:paraId="3644EEF3">
            <w:pPr>
              <w:pageBreakBefore w:val="0"/>
              <w:widowControl w:val="0"/>
              <w:kinsoku/>
              <w:overflowPunct/>
              <w:topLinePunct w:val="0"/>
              <w:autoSpaceDE/>
              <w:autoSpaceDN/>
              <w:bidi w:val="0"/>
              <w:spacing w:line="360" w:lineRule="auto"/>
              <w:ind w:right="-512" w:rightChars="-244"/>
              <w:textAlignment w:val="auto"/>
              <w:rPr>
                <w:sz w:val="24"/>
              </w:rPr>
            </w:pPr>
            <w:r>
              <w:rPr>
                <w:sz w:val="24"/>
              </w:rPr>
              <w:t>批准时间：</w:t>
            </w:r>
          </w:p>
        </w:tc>
      </w:tr>
      <w:tr w14:paraId="3659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91" w:type="dxa"/>
            <w:vAlign w:val="center"/>
          </w:tcPr>
          <w:p w14:paraId="290AD512">
            <w:pPr>
              <w:pageBreakBefore w:val="0"/>
              <w:widowControl w:val="0"/>
              <w:kinsoku/>
              <w:overflowPunct/>
              <w:topLinePunct w:val="0"/>
              <w:autoSpaceDE/>
              <w:autoSpaceDN/>
              <w:bidi w:val="0"/>
              <w:spacing w:line="360" w:lineRule="auto"/>
              <w:ind w:right="-512" w:rightChars="-244"/>
              <w:textAlignment w:val="auto"/>
              <w:rPr>
                <w:sz w:val="24"/>
              </w:rPr>
            </w:pPr>
            <w:r>
              <w:rPr>
                <w:sz w:val="24"/>
              </w:rPr>
              <w:t>公布时间：</w:t>
            </w:r>
          </w:p>
        </w:tc>
        <w:tc>
          <w:tcPr>
            <w:tcW w:w="2883" w:type="dxa"/>
            <w:vAlign w:val="center"/>
          </w:tcPr>
          <w:p w14:paraId="0FF7B35C">
            <w:pPr>
              <w:pageBreakBefore w:val="0"/>
              <w:widowControl w:val="0"/>
              <w:kinsoku/>
              <w:overflowPunct/>
              <w:topLinePunct w:val="0"/>
              <w:autoSpaceDE/>
              <w:autoSpaceDN/>
              <w:bidi w:val="0"/>
              <w:spacing w:line="360" w:lineRule="auto"/>
              <w:ind w:right="-512" w:rightChars="-244"/>
              <w:textAlignment w:val="auto"/>
              <w:rPr>
                <w:sz w:val="24"/>
              </w:rPr>
            </w:pPr>
            <w:r>
              <w:rPr>
                <w:sz w:val="24"/>
              </w:rPr>
              <w:t>生效时间：</w:t>
            </w:r>
          </w:p>
        </w:tc>
      </w:tr>
    </w:tbl>
    <w:p w14:paraId="5196317E">
      <w:pPr>
        <w:pageBreakBefore w:val="0"/>
        <w:widowControl w:val="0"/>
        <w:kinsoku/>
        <w:overflowPunct/>
        <w:topLinePunct w:val="0"/>
        <w:autoSpaceDE/>
        <w:autoSpaceDN/>
        <w:bidi w:val="0"/>
        <w:spacing w:line="360" w:lineRule="auto"/>
        <w:textAlignment w:val="auto"/>
        <w:rPr>
          <w:rFonts w:hint="eastAsia"/>
          <w:sz w:val="36"/>
          <w:szCs w:val="36"/>
        </w:rPr>
      </w:pPr>
    </w:p>
    <w:p w14:paraId="3020C75B">
      <w:pPr>
        <w:pageBreakBefore w:val="0"/>
        <w:widowControl w:val="0"/>
        <w:kinsoku/>
        <w:overflowPunct/>
        <w:topLinePunct w:val="0"/>
        <w:autoSpaceDE/>
        <w:autoSpaceDN/>
        <w:bidi w:val="0"/>
        <w:spacing w:line="360" w:lineRule="auto"/>
        <w:textAlignment w:val="auto"/>
        <w:rPr>
          <w:rFonts w:hint="eastAsia"/>
          <w:sz w:val="36"/>
          <w:szCs w:val="36"/>
        </w:rPr>
      </w:pPr>
    </w:p>
    <w:p w14:paraId="76435EB1">
      <w:pPr>
        <w:pageBreakBefore w:val="0"/>
        <w:widowControl w:val="0"/>
        <w:kinsoku/>
        <w:overflowPunct/>
        <w:topLinePunct w:val="0"/>
        <w:autoSpaceDE/>
        <w:autoSpaceDN/>
        <w:bidi w:val="0"/>
        <w:spacing w:line="360" w:lineRule="auto"/>
        <w:textAlignment w:val="auto"/>
        <w:rPr>
          <w:sz w:val="24"/>
        </w:rPr>
      </w:pPr>
    </w:p>
    <w:p w14:paraId="0784C085">
      <w:pPr>
        <w:pageBreakBefore w:val="0"/>
        <w:widowControl w:val="0"/>
        <w:kinsoku/>
        <w:overflowPunct/>
        <w:topLinePunct w:val="0"/>
        <w:autoSpaceDE/>
        <w:autoSpaceDN/>
        <w:bidi w:val="0"/>
        <w:spacing w:line="360" w:lineRule="auto"/>
        <w:ind w:left="-359" w:leftChars="-171" w:right="-512" w:rightChars="-244"/>
        <w:jc w:val="center"/>
        <w:textAlignment w:val="auto"/>
        <w:rPr>
          <w:sz w:val="24"/>
        </w:rPr>
      </w:pPr>
    </w:p>
    <w:p w14:paraId="1B19DD41">
      <w:pPr>
        <w:pageBreakBefore w:val="0"/>
        <w:widowControl w:val="0"/>
        <w:kinsoku/>
        <w:overflowPunct/>
        <w:topLinePunct w:val="0"/>
        <w:autoSpaceDE/>
        <w:autoSpaceDN/>
        <w:bidi w:val="0"/>
        <w:spacing w:line="360" w:lineRule="auto"/>
        <w:ind w:left="-359" w:leftChars="-171" w:right="-512" w:rightChars="-244"/>
        <w:jc w:val="center"/>
        <w:textAlignment w:val="auto"/>
        <w:rPr>
          <w:sz w:val="24"/>
        </w:rPr>
      </w:pPr>
    </w:p>
    <w:p w14:paraId="163A8A79">
      <w:pPr>
        <w:pageBreakBefore w:val="0"/>
        <w:widowControl w:val="0"/>
        <w:kinsoku/>
        <w:overflowPunct/>
        <w:topLinePunct w:val="0"/>
        <w:autoSpaceDE/>
        <w:autoSpaceDN/>
        <w:bidi w:val="0"/>
        <w:spacing w:line="360" w:lineRule="auto"/>
        <w:ind w:left="-359" w:leftChars="-171" w:right="-512" w:rightChars="-244"/>
        <w:jc w:val="center"/>
        <w:textAlignment w:val="auto"/>
        <w:rPr>
          <w:sz w:val="24"/>
        </w:rPr>
      </w:pPr>
    </w:p>
    <w:p w14:paraId="6E6AE6CE">
      <w:pPr>
        <w:pageBreakBefore w:val="0"/>
        <w:widowControl w:val="0"/>
        <w:kinsoku/>
        <w:overflowPunct/>
        <w:topLinePunct w:val="0"/>
        <w:autoSpaceDE/>
        <w:autoSpaceDN/>
        <w:bidi w:val="0"/>
        <w:spacing w:line="360" w:lineRule="auto"/>
        <w:ind w:left="-359" w:leftChars="-171" w:right="-512" w:rightChars="-244"/>
        <w:jc w:val="center"/>
        <w:textAlignment w:val="auto"/>
        <w:rPr>
          <w:sz w:val="24"/>
        </w:rPr>
      </w:pPr>
    </w:p>
    <w:p w14:paraId="00609577">
      <w:pPr>
        <w:pageBreakBefore w:val="0"/>
        <w:widowControl w:val="0"/>
        <w:kinsoku/>
        <w:overflowPunct/>
        <w:topLinePunct w:val="0"/>
        <w:autoSpaceDE/>
        <w:autoSpaceDN/>
        <w:bidi w:val="0"/>
        <w:spacing w:line="360" w:lineRule="auto"/>
        <w:ind w:left="-359" w:leftChars="-171" w:right="-512" w:rightChars="-244"/>
        <w:jc w:val="center"/>
        <w:textAlignment w:val="auto"/>
        <w:rPr>
          <w:sz w:val="24"/>
        </w:rPr>
      </w:pPr>
    </w:p>
    <w:p w14:paraId="20E0F751">
      <w:pPr>
        <w:pageBreakBefore w:val="0"/>
        <w:widowControl w:val="0"/>
        <w:kinsoku/>
        <w:overflowPunct/>
        <w:topLinePunct w:val="0"/>
        <w:autoSpaceDE/>
        <w:autoSpaceDN/>
        <w:bidi w:val="0"/>
        <w:spacing w:line="360" w:lineRule="auto"/>
        <w:ind w:left="-359" w:leftChars="-171" w:right="-512" w:rightChars="-244"/>
        <w:jc w:val="center"/>
        <w:textAlignment w:val="auto"/>
        <w:rPr>
          <w:rFonts w:hint="eastAsia" w:ascii="宋体" w:hAnsi="宋体"/>
          <w:sz w:val="24"/>
        </w:rPr>
      </w:pPr>
    </w:p>
    <w:p w14:paraId="36A1BCB5">
      <w:pPr>
        <w:pageBreakBefore w:val="0"/>
        <w:widowControl w:val="0"/>
        <w:kinsoku/>
        <w:overflowPunct/>
        <w:topLinePunct w:val="0"/>
        <w:autoSpaceDE/>
        <w:autoSpaceDN/>
        <w:bidi w:val="0"/>
        <w:spacing w:line="360" w:lineRule="auto"/>
        <w:ind w:left="-359" w:leftChars="-171" w:right="-512" w:rightChars="-244"/>
        <w:jc w:val="center"/>
        <w:textAlignment w:val="auto"/>
        <w:rPr>
          <w:rFonts w:hint="eastAsia" w:ascii="宋体" w:hAnsi="宋体"/>
          <w:sz w:val="24"/>
        </w:rPr>
      </w:pPr>
    </w:p>
    <w:p w14:paraId="18F1CDFB">
      <w:pPr>
        <w:pageBreakBefore w:val="0"/>
        <w:widowControl w:val="0"/>
        <w:kinsoku/>
        <w:overflowPunct/>
        <w:topLinePunct w:val="0"/>
        <w:autoSpaceDE/>
        <w:autoSpaceDN/>
        <w:bidi w:val="0"/>
        <w:spacing w:line="360" w:lineRule="auto"/>
        <w:ind w:left="-359" w:leftChars="-171" w:right="-512" w:rightChars="-244"/>
        <w:jc w:val="center"/>
        <w:textAlignment w:val="auto"/>
        <w:rPr>
          <w:rFonts w:hint="eastAsia" w:ascii="宋体" w:hAnsi="宋体"/>
          <w:sz w:val="24"/>
        </w:rPr>
      </w:pPr>
    </w:p>
    <w:p w14:paraId="6372967C">
      <w:pPr>
        <w:pageBreakBefore w:val="0"/>
        <w:widowControl w:val="0"/>
        <w:kinsoku/>
        <w:overflowPunct/>
        <w:topLinePunct w:val="0"/>
        <w:autoSpaceDE/>
        <w:autoSpaceDN/>
        <w:bidi w:val="0"/>
        <w:spacing w:line="360" w:lineRule="auto"/>
        <w:ind w:left="-359" w:leftChars="-171" w:right="-512" w:rightChars="-244"/>
        <w:jc w:val="center"/>
        <w:textAlignment w:val="auto"/>
        <w:rPr>
          <w:rFonts w:hint="eastAsia" w:ascii="宋体" w:hAnsi="宋体"/>
          <w:sz w:val="24"/>
        </w:rPr>
      </w:pPr>
    </w:p>
    <w:p w14:paraId="1430E6BC">
      <w:pPr>
        <w:pageBreakBefore w:val="0"/>
        <w:widowControl w:val="0"/>
        <w:kinsoku/>
        <w:overflowPunct/>
        <w:topLinePunct w:val="0"/>
        <w:autoSpaceDE/>
        <w:autoSpaceDN/>
        <w:bidi w:val="0"/>
        <w:spacing w:line="360" w:lineRule="auto"/>
        <w:ind w:left="-359" w:leftChars="-171" w:right="-512" w:rightChars="-244"/>
        <w:jc w:val="center"/>
        <w:textAlignment w:val="auto"/>
        <w:rPr>
          <w:rFonts w:hint="eastAsia" w:ascii="宋体" w:hAnsi="宋体"/>
          <w:sz w:val="24"/>
        </w:rPr>
      </w:pPr>
    </w:p>
    <w:p w14:paraId="6A54036C">
      <w:pPr>
        <w:pageBreakBefore w:val="0"/>
        <w:widowControl w:val="0"/>
        <w:kinsoku/>
        <w:overflowPunct/>
        <w:topLinePunct w:val="0"/>
        <w:autoSpaceDE/>
        <w:autoSpaceDN/>
        <w:bidi w:val="0"/>
        <w:spacing w:line="360" w:lineRule="auto"/>
        <w:ind w:right="-512" w:rightChars="-244"/>
        <w:jc w:val="both"/>
        <w:textAlignment w:val="auto"/>
        <w:rPr>
          <w:rFonts w:hint="eastAsia" w:ascii="宋体" w:hAnsi="宋体"/>
          <w:sz w:val="24"/>
        </w:rPr>
      </w:pPr>
    </w:p>
    <w:p w14:paraId="7089B60F">
      <w:pPr>
        <w:pageBreakBefore w:val="0"/>
        <w:widowControl w:val="0"/>
        <w:kinsoku/>
        <w:overflowPunct/>
        <w:topLinePunct w:val="0"/>
        <w:autoSpaceDE/>
        <w:autoSpaceDN/>
        <w:bidi w:val="0"/>
        <w:spacing w:line="360" w:lineRule="auto"/>
        <w:ind w:left="-359" w:leftChars="-171" w:right="-512" w:rightChars="-244"/>
        <w:jc w:val="center"/>
        <w:textAlignment w:val="auto"/>
        <w:rPr>
          <w:rFonts w:ascii="宋体" w:hAnsi="宋体"/>
          <w:sz w:val="24"/>
        </w:rPr>
      </w:pPr>
      <w:r>
        <w:rPr>
          <w:rFonts w:hint="eastAsia" w:ascii="宋体" w:hAnsi="宋体"/>
          <w:sz w:val="24"/>
        </w:rPr>
        <w:t>内部文件，注意保存</w:t>
      </w:r>
    </w:p>
    <w:p w14:paraId="4FD06106">
      <w:pPr>
        <w:pageBreakBefore w:val="0"/>
        <w:widowControl w:val="0"/>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sz w:val="24"/>
        </w:rPr>
        <w:sectPr>
          <w:headerReference r:id="rId5" w:type="default"/>
          <w:footerReference r:id="rId6" w:type="default"/>
          <w:pgSz w:w="11906" w:h="16838"/>
          <w:pgMar w:top="1417" w:right="1418" w:bottom="1417" w:left="1418" w:header="851" w:footer="850" w:gutter="340"/>
          <w:pgNumType w:fmt="decimal"/>
          <w:cols w:space="720" w:num="1"/>
          <w:rtlGutter w:val="0"/>
          <w:docGrid w:type="lines" w:linePitch="312" w:charSpace="0"/>
        </w:sectPr>
      </w:pPr>
      <w:r>
        <w:rPr>
          <w:rFonts w:hint="eastAsia" w:ascii="宋体" w:hAnsi="宋体"/>
          <w:sz w:val="24"/>
        </w:rPr>
        <w:t>未经许可不得擅自复制、泄露、公布及出版</w:t>
      </w:r>
    </w:p>
    <w:p w14:paraId="3E4CB97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为</w:t>
      </w:r>
      <w:r>
        <w:rPr>
          <w:rFonts w:hint="eastAsia" w:ascii="宋体" w:hAnsi="宋体"/>
          <w:b w:val="0"/>
          <w:bCs/>
          <w:color w:val="000000"/>
          <w:sz w:val="24"/>
          <w:szCs w:val="24"/>
          <w:lang w:val="en-US" w:eastAsia="zh-CN"/>
        </w:rPr>
        <w:t>帮助</w:t>
      </w:r>
      <w:r>
        <w:rPr>
          <w:rFonts w:hint="eastAsia" w:ascii="宋体" w:hAnsi="宋体" w:eastAsia="宋体"/>
          <w:b w:val="0"/>
          <w:bCs/>
          <w:color w:val="000000"/>
          <w:sz w:val="24"/>
          <w:szCs w:val="24"/>
        </w:rPr>
        <w:t>研究者／申办者提交伦理审查申请／报告，特制定本指南。</w:t>
      </w:r>
    </w:p>
    <w:p w14:paraId="207AE38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一、应当提交伦理审查的研究项目范围</w:t>
      </w:r>
    </w:p>
    <w:p w14:paraId="749B91F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color w:val="000000"/>
          <w:sz w:val="24"/>
          <w:szCs w:val="24"/>
          <w:lang w:val="en-US" w:eastAsia="zh-CN"/>
        </w:rPr>
      </w:pPr>
      <w:r>
        <w:rPr>
          <w:rFonts w:hint="eastAsia" w:ascii="宋体" w:hAnsi="宋体" w:eastAsia="宋体"/>
          <w:b w:val="0"/>
          <w:bCs/>
          <w:color w:val="000000"/>
          <w:sz w:val="24"/>
          <w:szCs w:val="24"/>
        </w:rPr>
        <w:t>根据国家药品监督管理局和国家卫健委《药物临床试验质量管理规范》（2020年），国家认证认可监督管理委员会《涉及人的生物医学研究伦理审查体系要求》（2020年），国家卫健委／教育部／科技部／国家中医药局《涉及人的生命科学和医学研究伦理审查办法》（2023年），所有我院承担的、以及在本我院内实施的下列范围的研究项目，应当依照本指南向伦理</w:t>
      </w:r>
      <w:r>
        <w:rPr>
          <w:rFonts w:hint="eastAsia" w:ascii="宋体" w:hAnsi="宋体"/>
          <w:b w:val="0"/>
          <w:bCs/>
          <w:color w:val="000000"/>
          <w:sz w:val="24"/>
          <w:szCs w:val="24"/>
          <w:lang w:val="en-US" w:eastAsia="zh-CN"/>
        </w:rPr>
        <w:t>审查</w:t>
      </w:r>
      <w:r>
        <w:rPr>
          <w:rFonts w:hint="eastAsia" w:ascii="宋体" w:hAnsi="宋体" w:eastAsia="宋体"/>
          <w:b w:val="0"/>
          <w:bCs/>
          <w:color w:val="000000"/>
          <w:sz w:val="24"/>
          <w:szCs w:val="24"/>
        </w:rPr>
        <w:t>委员会提交伦理审查</w:t>
      </w:r>
      <w:r>
        <w:rPr>
          <w:rFonts w:hint="eastAsia" w:ascii="宋体" w:hAnsi="宋体"/>
          <w:b w:val="0"/>
          <w:bCs/>
          <w:color w:val="000000"/>
          <w:sz w:val="24"/>
          <w:szCs w:val="24"/>
          <w:lang w:val="en-US" w:eastAsia="zh-CN"/>
        </w:rPr>
        <w:t>的送审材料。</w:t>
      </w:r>
    </w:p>
    <w:p w14:paraId="525673EE">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涉及人的生物医学研究是指以人为受试者，或者使用可识别身份的人体材料和数据，为了解疾病的原因、发展和结果，改进预防、诊断和治疗而进行的研究活动。例如：临床试验，流行病学研究，利用医学记录或人的其他信息的研究，利用保存的人的生物标本的研究等。</w:t>
      </w:r>
    </w:p>
    <w:p w14:paraId="69B4C4E6">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以下活动不属于涉及人的生物医学研究，例如：常规医疗质量或疾病发病率的监测与评估，医疗病例的个案报告，履行法定职责的疾病监控等。</w:t>
      </w:r>
    </w:p>
    <w:p w14:paraId="7D80716A">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二、伦理审查的</w:t>
      </w:r>
      <w:r>
        <w:rPr>
          <w:rFonts w:hint="eastAsia" w:ascii="宋体" w:hAnsi="宋体"/>
          <w:b w:val="0"/>
          <w:bCs/>
          <w:color w:val="000000"/>
          <w:sz w:val="24"/>
          <w:szCs w:val="24"/>
          <w:lang w:val="en-US" w:eastAsia="zh-CN"/>
        </w:rPr>
        <w:t>送审</w:t>
      </w:r>
      <w:r>
        <w:rPr>
          <w:rFonts w:hint="eastAsia" w:ascii="宋体" w:hAnsi="宋体" w:eastAsia="宋体"/>
          <w:b w:val="0"/>
          <w:bCs/>
          <w:color w:val="000000"/>
          <w:sz w:val="24"/>
          <w:szCs w:val="24"/>
        </w:rPr>
        <w:t>类别</w:t>
      </w:r>
    </w:p>
    <w:p w14:paraId="7AB02E2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color w:val="000000"/>
          <w:sz w:val="24"/>
          <w:szCs w:val="24"/>
        </w:rPr>
      </w:pPr>
      <w:r>
        <w:rPr>
          <w:rFonts w:hint="eastAsia" w:ascii="宋体" w:hAnsi="宋体"/>
          <w:b w:val="0"/>
          <w:bCs/>
          <w:color w:val="000000"/>
          <w:sz w:val="24"/>
          <w:szCs w:val="24"/>
          <w:lang w:val="en-US" w:eastAsia="zh-CN"/>
        </w:rPr>
        <w:t xml:space="preserve">1. </w:t>
      </w:r>
      <w:r>
        <w:rPr>
          <w:rFonts w:hint="eastAsia" w:ascii="宋体" w:hAnsi="宋体" w:eastAsia="宋体"/>
          <w:b w:val="0"/>
          <w:bCs/>
          <w:color w:val="000000"/>
          <w:sz w:val="24"/>
          <w:szCs w:val="24"/>
        </w:rPr>
        <w:t>初始审查</w:t>
      </w:r>
    </w:p>
    <w:p w14:paraId="1E70A14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color w:val="000000"/>
          <w:sz w:val="24"/>
          <w:szCs w:val="24"/>
        </w:rPr>
      </w:pPr>
      <w:r>
        <w:rPr>
          <w:rFonts w:hint="eastAsia" w:ascii="宋体" w:hAnsi="宋体"/>
          <w:b w:val="0"/>
          <w:bCs/>
          <w:color w:val="000000"/>
          <w:sz w:val="24"/>
          <w:szCs w:val="24"/>
          <w:lang w:val="en-US" w:eastAsia="zh-CN"/>
        </w:rPr>
        <w:t>1.1</w:t>
      </w:r>
      <w:r>
        <w:rPr>
          <w:rFonts w:hint="eastAsia" w:ascii="宋体" w:hAnsi="宋体" w:eastAsia="宋体"/>
          <w:b w:val="0"/>
          <w:bCs/>
          <w:color w:val="000000"/>
          <w:sz w:val="24"/>
          <w:szCs w:val="24"/>
        </w:rPr>
        <w:t>初始审查申请</w:t>
      </w:r>
    </w:p>
    <w:p w14:paraId="2C0344A0">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color w:val="000000"/>
          <w:sz w:val="24"/>
          <w:szCs w:val="24"/>
        </w:rPr>
      </w:pPr>
      <w:r>
        <w:rPr>
          <w:rFonts w:hint="eastAsia" w:ascii="宋体" w:hAnsi="宋体"/>
          <w:b w:val="0"/>
          <w:bCs/>
          <w:color w:val="000000"/>
          <w:sz w:val="24"/>
          <w:szCs w:val="24"/>
          <w:lang w:val="en-US" w:eastAsia="zh-CN"/>
        </w:rPr>
        <w:t>涉及人的生物医学研究项目</w:t>
      </w:r>
      <w:r>
        <w:rPr>
          <w:rFonts w:hint="eastAsia" w:ascii="宋体" w:hAnsi="宋体" w:eastAsia="宋体"/>
          <w:b w:val="0"/>
          <w:bCs/>
          <w:color w:val="000000"/>
          <w:sz w:val="24"/>
          <w:szCs w:val="24"/>
        </w:rPr>
        <w:t>，研究者应在研究开始前提交伦理审查申请，经审查同意后方可实施。“初始审查申请</w:t>
      </w:r>
      <w:r>
        <w:rPr>
          <w:rFonts w:hint="eastAsia" w:ascii="宋体" w:hAnsi="宋体"/>
          <w:b w:val="0"/>
          <w:bCs/>
          <w:color w:val="000000"/>
          <w:sz w:val="24"/>
          <w:szCs w:val="24"/>
          <w:lang w:val="en-US" w:eastAsia="zh-CN"/>
        </w:rPr>
        <w:t>表</w:t>
      </w:r>
      <w:r>
        <w:rPr>
          <w:rFonts w:hint="eastAsia" w:ascii="宋体" w:hAnsi="宋体" w:eastAsia="宋体"/>
          <w:b w:val="0"/>
          <w:bCs/>
          <w:color w:val="000000"/>
          <w:sz w:val="24"/>
          <w:szCs w:val="24"/>
        </w:rPr>
        <w:t>”（AF／SS-0</w:t>
      </w:r>
      <w:r>
        <w:rPr>
          <w:rFonts w:hint="eastAsia" w:ascii="宋体" w:hAnsi="宋体"/>
          <w:b w:val="0"/>
          <w:bCs/>
          <w:color w:val="000000"/>
          <w:sz w:val="24"/>
          <w:szCs w:val="24"/>
          <w:lang w:val="en-US" w:eastAsia="zh-CN"/>
        </w:rPr>
        <w:t>3/01.0</w:t>
      </w:r>
      <w:r>
        <w:rPr>
          <w:rFonts w:hint="eastAsia" w:ascii="宋体" w:hAnsi="宋体" w:eastAsia="宋体"/>
          <w:b w:val="0"/>
          <w:bCs/>
          <w:color w:val="000000"/>
          <w:sz w:val="24"/>
          <w:szCs w:val="24"/>
        </w:rPr>
        <w:t>）是指首次向伦理</w:t>
      </w:r>
      <w:r>
        <w:rPr>
          <w:rFonts w:hint="eastAsia" w:ascii="宋体" w:hAnsi="宋体"/>
          <w:b w:val="0"/>
          <w:bCs/>
          <w:color w:val="000000"/>
          <w:sz w:val="24"/>
          <w:szCs w:val="24"/>
          <w:lang w:val="en-US" w:eastAsia="zh-CN"/>
        </w:rPr>
        <w:t>审查</w:t>
      </w:r>
      <w:r>
        <w:rPr>
          <w:rFonts w:hint="eastAsia" w:ascii="宋体" w:hAnsi="宋体" w:eastAsia="宋体"/>
          <w:b w:val="0"/>
          <w:bCs/>
          <w:color w:val="000000"/>
          <w:sz w:val="24"/>
          <w:szCs w:val="24"/>
        </w:rPr>
        <w:t>委员会提交的审查申请。</w:t>
      </w:r>
    </w:p>
    <w:p w14:paraId="3DCF5584">
      <w:pPr>
        <w:pageBreakBefore w:val="0"/>
        <w:widowControl w:val="0"/>
        <w:numPr>
          <w:ilvl w:val="0"/>
          <w:numId w:val="1"/>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b w:val="0"/>
          <w:bCs/>
          <w:color w:val="000000"/>
          <w:sz w:val="24"/>
          <w:szCs w:val="24"/>
        </w:rPr>
      </w:pPr>
      <w:r>
        <w:rPr>
          <w:rFonts w:hint="eastAsia" w:ascii="宋体" w:hAnsi="宋体" w:eastAsia="宋体"/>
          <w:b w:val="0"/>
          <w:bCs/>
          <w:color w:val="000000"/>
          <w:sz w:val="24"/>
          <w:szCs w:val="24"/>
        </w:rPr>
        <w:t>跟踪审查</w:t>
      </w:r>
    </w:p>
    <w:p w14:paraId="3609B1A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lang w:val="en-US" w:eastAsia="zh-CN"/>
        </w:rPr>
        <w:t>2.1修正案审查申请</w:t>
      </w:r>
    </w:p>
    <w:p w14:paraId="78CE6F2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lang w:val="en-US" w:eastAsia="zh-CN"/>
        </w:rPr>
        <w:t>2.1.1为避免研究对受试者的紧急危害，研究者可在伦理审查委员会同意前修改研究方案，事后应当及时将修改研究方案的情况及原因报告伦理审查委员会。</w:t>
      </w:r>
    </w:p>
    <w:p w14:paraId="354743D6">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lang w:val="en-US" w:eastAsia="zh-CN"/>
        </w:rPr>
        <w:t>2.1.2研究过程中若变更研究者，或对研究方案、知情同意书、招募材料、以及提供给受试者的其他书面资料的修改，研究者应当获得伦理审查委员会同意后执行，除非研究方案的修改仅涉及研究管理或后勤方面，例如更换监查员、变更电话号码、变更药品批号。</w:t>
      </w:r>
    </w:p>
    <w:p w14:paraId="29E18C0B">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lang w:val="en-US" w:eastAsia="zh-CN"/>
        </w:rPr>
        <w:t>2.2 年度报告／研究进展报告：</w:t>
      </w:r>
    </w:p>
    <w:p w14:paraId="687A80F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b w:val="0"/>
          <w:bCs/>
          <w:color w:val="000000"/>
          <w:sz w:val="24"/>
          <w:szCs w:val="24"/>
          <w:lang w:val="en-US" w:eastAsia="zh-CN"/>
        </w:rPr>
      </w:pPr>
      <w:r>
        <w:rPr>
          <w:rFonts w:hint="eastAsia" w:ascii="宋体" w:hAnsi="宋体"/>
          <w:b w:val="0"/>
          <w:bCs/>
          <w:color w:val="000000"/>
          <w:sz w:val="24"/>
          <w:szCs w:val="24"/>
          <w:lang w:val="en-US" w:eastAsia="zh-CN"/>
        </w:rPr>
        <w:t>研究者应当向伦理审查委员会提交临床研究的年度报告，或者按照伦理审查批件意见所要求的年度／定期跟踪审</w:t>
      </w:r>
      <w:r>
        <w:rPr>
          <w:rFonts w:hint="eastAsia" w:ascii="宋体" w:hAnsi="宋体" w:eastAsia="宋体"/>
          <w:color w:val="000000"/>
          <w:sz w:val="25"/>
        </w:rPr>
        <w:t>查频率，在截止日期前</w:t>
      </w:r>
      <w:r>
        <w:rPr>
          <w:rFonts w:hint="eastAsia" w:ascii="Calibri" w:hAnsi="Calibri" w:eastAsia="Calibri"/>
          <w:color w:val="000000"/>
          <w:sz w:val="25"/>
        </w:rPr>
        <w:t>1</w:t>
      </w:r>
      <w:r>
        <w:rPr>
          <w:rFonts w:hint="eastAsia" w:ascii="宋体" w:hAnsi="宋体" w:eastAsia="宋体"/>
          <w:color w:val="000000"/>
          <w:sz w:val="25"/>
        </w:rPr>
        <w:t>个月内提交“研究进展报告”（</w:t>
      </w:r>
      <w:r>
        <w:rPr>
          <w:rFonts w:hint="eastAsia" w:ascii="Calibri" w:hAnsi="Calibri" w:eastAsia="Calibri"/>
          <w:color w:val="000000"/>
          <w:sz w:val="25"/>
        </w:rPr>
        <w:t>AF</w:t>
      </w:r>
      <w:r>
        <w:rPr>
          <w:rFonts w:hint="eastAsia" w:ascii="宋体" w:hAnsi="宋体" w:eastAsia="宋体"/>
          <w:color w:val="000000"/>
          <w:sz w:val="25"/>
        </w:rPr>
        <w:t>／</w:t>
      </w:r>
      <w:r>
        <w:rPr>
          <w:rFonts w:hint="eastAsia" w:ascii="Calibri" w:hAnsi="Calibri" w:eastAsia="Calibri"/>
          <w:color w:val="000000"/>
          <w:sz w:val="25"/>
        </w:rPr>
        <w:t>SS</w:t>
      </w:r>
      <w:r>
        <w:rPr>
          <w:rFonts w:hint="eastAsia" w:ascii="宋体" w:hAnsi="宋体" w:eastAsia="宋体"/>
          <w:color w:val="000000"/>
          <w:sz w:val="25"/>
        </w:rPr>
        <w:t>-</w:t>
      </w:r>
      <w:r>
        <w:rPr>
          <w:rFonts w:hint="eastAsia" w:ascii="Calibri" w:hAnsi="Calibri" w:eastAsia="Calibri"/>
          <w:color w:val="000000"/>
          <w:sz w:val="25"/>
        </w:rPr>
        <w:t>07</w:t>
      </w:r>
      <w:r>
        <w:rPr>
          <w:rFonts w:hint="eastAsia" w:ascii="Calibri" w:hAnsi="Calibri"/>
          <w:color w:val="000000"/>
          <w:sz w:val="25"/>
          <w:lang w:val="en-US" w:eastAsia="zh-CN"/>
        </w:rPr>
        <w:t>.01.0</w:t>
      </w:r>
      <w:r>
        <w:rPr>
          <w:rFonts w:hint="eastAsia" w:ascii="宋体" w:hAnsi="宋体" w:eastAsia="宋体"/>
          <w:color w:val="000000"/>
          <w:sz w:val="25"/>
        </w:rPr>
        <w:t>）。申办者应当向组长单位伦理</w:t>
      </w:r>
      <w:r>
        <w:rPr>
          <w:rFonts w:hint="eastAsia" w:ascii="宋体" w:hAnsi="宋体"/>
          <w:color w:val="000000"/>
          <w:sz w:val="25"/>
          <w:lang w:val="en-US" w:eastAsia="zh-CN"/>
        </w:rPr>
        <w:t>审查</w:t>
      </w:r>
      <w:r>
        <w:rPr>
          <w:rFonts w:hint="eastAsia" w:ascii="宋体" w:hAnsi="宋体" w:eastAsia="宋体"/>
          <w:color w:val="000000"/>
          <w:sz w:val="25"/>
        </w:rPr>
        <w:t>委员会提交各中心研究进展的汇总报告；当出现任何可能显著影响研究进行、或增加受试者危险的情况时，应以研究进展报告</w:t>
      </w:r>
      <w:r>
        <w:rPr>
          <w:rFonts w:hint="eastAsia" w:ascii="宋体" w:hAnsi="宋体" w:eastAsia="宋体" w:cs="宋体"/>
          <w:color w:val="000000"/>
          <w:sz w:val="24"/>
          <w:szCs w:val="24"/>
        </w:rPr>
        <w:t>的方式，及时报告伦理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w:t>
      </w:r>
      <w:r>
        <w:rPr>
          <w:rFonts w:hint="eastAsia" w:ascii="宋体" w:hAnsi="宋体"/>
          <w:b w:val="0"/>
          <w:bCs/>
          <w:color w:val="000000"/>
          <w:sz w:val="24"/>
          <w:szCs w:val="24"/>
          <w:lang w:val="en-US" w:eastAsia="zh-CN"/>
        </w:rPr>
        <w:t>员会。如果伦理审查同意研究的有效期到期，可以通过年度报告或研究进展报告申请延长有效期。</w:t>
      </w:r>
    </w:p>
    <w:p w14:paraId="3854858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2.3</w:t>
      </w:r>
      <w:r>
        <w:rPr>
          <w:rFonts w:hint="eastAsia" w:ascii="宋体" w:hAnsi="宋体" w:eastAsia="宋体" w:cs="宋体"/>
          <w:color w:val="000000"/>
          <w:sz w:val="24"/>
          <w:szCs w:val="24"/>
        </w:rPr>
        <w:t>安全性信息报告：</w:t>
      </w:r>
    </w:p>
    <w:p w14:paraId="52A2FBC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2.3.1</w:t>
      </w:r>
      <w:r>
        <w:rPr>
          <w:rFonts w:hint="eastAsia" w:ascii="宋体" w:hAnsi="宋体" w:eastAsia="宋体" w:cs="宋体"/>
          <w:color w:val="000000"/>
          <w:sz w:val="24"/>
          <w:szCs w:val="24"/>
        </w:rPr>
        <w:t>可疑且非预期不良反应（SUSAR）上报指南</w:t>
      </w:r>
    </w:p>
    <w:p w14:paraId="712FAE24">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本中心SUSAR：</w:t>
      </w:r>
    </w:p>
    <w:p w14:paraId="15CAEE4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研究者应当立即（通常为24小时内）向申办者书面报告所有安全性事件及随访报告。申办者与研究者共同判定为SUSAR的，应对受试者进行抢救和治疗，同时填写完整SUSAR报告后，经由研究者报告给伦理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委员会。申办者与研究者对SUSAR判断不一致的，也应作为SUSAR进行报告。</w:t>
      </w:r>
    </w:p>
    <w:p w14:paraId="339C248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对于致死或危及生命的SUSAR在7天内向伦理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报告，并在随后的8天内报告、完善随访信息（申请人首次获知当天为第0天）。非致死或危及生命的非预期严重不良反应，申请人应在首次获知后尽快报告，但不得超过15天。SUSAR中的死亡事件报告，除符合SUSAR的一般要求外，研究者还应当向申办者和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委员会提供其他所需要资料，如尸检报告和最终医学报告。申请人在首次报告后，应继续跟踪严重不良反应，以随访报告的形式及时报送有关新信息或对前次报告的更改信息等，报告时限为获得新信息起15天内。</w:t>
      </w:r>
    </w:p>
    <w:p w14:paraId="5052FD0E">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本中心SUSAR以个案形式报告，“SUSAR报告表”（AF／SS-08</w:t>
      </w:r>
      <w:r>
        <w:rPr>
          <w:rFonts w:hint="eastAsia" w:ascii="宋体" w:hAnsi="宋体" w:cs="宋体"/>
          <w:color w:val="000000"/>
          <w:sz w:val="24"/>
          <w:szCs w:val="24"/>
          <w:lang w:val="en-US" w:eastAsia="zh-CN"/>
        </w:rPr>
        <w:t>/01.0</w:t>
      </w:r>
      <w:r>
        <w:rPr>
          <w:rFonts w:hint="eastAsia" w:ascii="宋体" w:hAnsi="宋体" w:eastAsia="宋体" w:cs="宋体"/>
          <w:color w:val="000000"/>
          <w:sz w:val="24"/>
          <w:szCs w:val="24"/>
        </w:rPr>
        <w:t>）的递交应采用标准化、结构化的信息，可采用申办方自用模板。针对本中心发生的SUSAR首次报告受理后采取会议审查的形式，必要时采取紧急会议审查，随访报告的审查根据首次报告处理情况决定。</w:t>
      </w:r>
    </w:p>
    <w:p w14:paraId="34C4B4D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非本中心SUSAR：</w:t>
      </w:r>
    </w:p>
    <w:p w14:paraId="6644A94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非本中心SUSAR应向本伦理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提交SUSAR阶段汇总信息（信息内容至少包括：受试者编号、SUSAR、具体诊断、与该临床研究的相关性、预期性、受试者转归和是否赔偿。原则上不超过3个月）。对于非本中心发生SUSAR采取备案形式，必要时采取审查形式。</w:t>
      </w:r>
    </w:p>
    <w:p w14:paraId="71061144">
      <w:pPr>
        <w:pageBreakBefore w:val="0"/>
        <w:widowControl w:val="0"/>
        <w:numPr>
          <w:ilvl w:val="0"/>
          <w:numId w:val="0"/>
        </w:numPr>
        <w:kinsoku/>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注：SUSAR上报的起始时间为获得本中心伦理同意后，结束时间为国内最后一例受试者随访结束日期。临床试验结束或随访结束后至获得审评审批结论前发生的SA</w:t>
      </w:r>
      <w:r>
        <w:rPr>
          <w:rFonts w:hint="eastAsia" w:ascii="宋体" w:hAnsi="宋体" w:eastAsia="宋体" w:cs="宋体"/>
          <w:color w:val="000000"/>
          <w:sz w:val="24"/>
          <w:szCs w:val="24"/>
          <w:lang w:val="en-US" w:eastAsia="zh-CN"/>
        </w:rPr>
        <w:t>E，</w:t>
      </w:r>
      <w:r>
        <w:rPr>
          <w:rFonts w:hint="eastAsia" w:ascii="宋体" w:hAnsi="宋体" w:eastAsia="宋体" w:cs="宋体"/>
          <w:color w:val="000000"/>
          <w:sz w:val="24"/>
          <w:szCs w:val="24"/>
        </w:rPr>
        <w:t>由研究者报告申办者，若属于非预期严重不良反应，快速报告伦理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w:t>
      </w:r>
    </w:p>
    <w:p w14:paraId="6246FBC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rPr>
        <w:t>SUSAR报告由研究者递交伦理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委员会，申办者不直接递交。原则上递交纸质版文件，研究者报告申办者，若属于非预期严重不良反应，快速报告伦理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委员会。SUSAR阶段性汇总原版材料可接受刻录成盘。报告原则上应为简体中文，对于原始资料为英文的报告，递交中文列表和英文原版资</w:t>
      </w:r>
      <w:r>
        <w:rPr>
          <w:rFonts w:hint="eastAsia" w:ascii="宋体" w:hAnsi="宋体" w:cs="宋体"/>
          <w:color w:val="000000"/>
          <w:sz w:val="24"/>
          <w:szCs w:val="24"/>
          <w:lang w:val="en-US" w:eastAsia="zh-CN"/>
        </w:rPr>
        <w:t>料。</w:t>
      </w:r>
    </w:p>
    <w:p w14:paraId="7B08941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2.3.2</w:t>
      </w:r>
      <w:r>
        <w:rPr>
          <w:rFonts w:hint="eastAsia" w:ascii="宋体" w:hAnsi="宋体" w:eastAsia="宋体" w:cs="宋体"/>
          <w:color w:val="000000"/>
          <w:sz w:val="24"/>
          <w:szCs w:val="24"/>
        </w:rPr>
        <w:t>安全性更新报告（DSUR）上报：</w:t>
      </w:r>
    </w:p>
    <w:p w14:paraId="4143619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研发期间安全性更新报告（Development Safety Update Report）的主要目的是对报告周期内收集到的与在研药物（无论上市与否）相关的安全性信息进行全面深入的年度回顾和评估。按照2020版GCP要求，作为阶段性的安全性汇总，进行年度报告递交，原则上报告周期不超过一年。申办者需要将DSUR有关信息通报给所有参加临床试验的研究者及其所在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w:t>
      </w:r>
    </w:p>
    <w:p w14:paraId="337A350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2.3.3</w:t>
      </w:r>
      <w:r>
        <w:rPr>
          <w:rFonts w:hint="eastAsia" w:ascii="宋体" w:hAnsi="宋体" w:eastAsia="宋体" w:cs="宋体"/>
          <w:color w:val="000000"/>
          <w:sz w:val="24"/>
          <w:szCs w:val="24"/>
        </w:rPr>
        <w:t>严重不良事件（SAE）报告：</w:t>
      </w:r>
    </w:p>
    <w:p w14:paraId="09946C8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rPr>
        <w:t>研究者应当在获知严重不良事件后24小时内，以“严重不良事件（SAE）报告表”（AF／SS-09</w:t>
      </w:r>
      <w:r>
        <w:rPr>
          <w:rFonts w:hint="eastAsia" w:ascii="宋体" w:hAnsi="宋体" w:cs="宋体"/>
          <w:color w:val="000000"/>
          <w:sz w:val="24"/>
          <w:szCs w:val="24"/>
          <w:lang w:val="en-US" w:eastAsia="zh-CN"/>
        </w:rPr>
        <w:t>/01.0</w:t>
      </w:r>
      <w:r>
        <w:rPr>
          <w:rFonts w:hint="eastAsia" w:ascii="宋体" w:hAnsi="宋体" w:eastAsia="宋体" w:cs="宋体"/>
          <w:color w:val="000000"/>
          <w:sz w:val="24"/>
          <w:szCs w:val="24"/>
        </w:rPr>
        <w:t>）向伦理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报告本机构发生的严重不良事件，并按照临床试验方案的规定随访严重不良事件，提交严重不良事件随访报告；申办者应当在获知死亡或者危及生命的临床试验医疗器械相关严重不良事件后7日内、获知非死亡或者非危及生命的试验医疗器械相关严重不良事件和其他严重安全性风险信息后15日内，向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委员会报告；出现大范围临床试验医疗器械相关严重不良事件，或者其他重大安全性问题时，申办者应当暂停或者终止医疗器械临床试验，并</w:t>
      </w:r>
      <w:r>
        <w:rPr>
          <w:rFonts w:hint="eastAsia" w:ascii="宋体" w:hAnsi="宋体" w:cs="宋体"/>
          <w:color w:val="000000"/>
          <w:sz w:val="24"/>
          <w:szCs w:val="24"/>
          <w:lang w:val="en-US" w:eastAsia="zh-CN"/>
        </w:rPr>
        <w:t>向</w:t>
      </w:r>
      <w:r>
        <w:rPr>
          <w:rFonts w:hint="eastAsia" w:ascii="宋体" w:hAnsi="宋体" w:eastAsia="宋体" w:cs="宋体"/>
          <w:color w:val="000000"/>
          <w:sz w:val="24"/>
          <w:szCs w:val="24"/>
        </w:rPr>
        <w:t>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委员会报告。</w:t>
      </w:r>
    </w:p>
    <w:p w14:paraId="2D15CF8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2.3.4 偏离方案报告</w:t>
      </w:r>
    </w:p>
    <w:p w14:paraId="2F42896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增加受试者风险或者显著影响临床研究实施的违背／偏离方案，研究者／申办者应当及时向伦理委员会报告，包括：</w:t>
      </w:r>
    </w:p>
    <w:p w14:paraId="7F9C8732">
      <w:pPr>
        <w:pageBreakBefore w:val="0"/>
        <w:widowControl w:val="0"/>
        <w:numPr>
          <w:ilvl w:val="0"/>
          <w:numId w:val="2"/>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严重偏离方案：a.研究纳入了不符合纳入标准或符合排除标准的受试者；b.符合终止试验规定而未让受试者退出研究；c.给予受试者错误的治疗或剂量；d.给予受试者方案禁止的合并用药；e.可能对受试者的权益和安全、以及研究的科学性造成显著影响等违反GCP原则的情况。</w:t>
      </w:r>
    </w:p>
    <w:p w14:paraId="66102CC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持续偏离方案（指同一研究人员的同一违规行为在被要求纠正后，再次发生）。</w:t>
      </w:r>
    </w:p>
    <w:p w14:paraId="0061850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sectPr>
          <w:headerReference r:id="rId7" w:type="default"/>
          <w:footerReference r:id="rId8" w:type="default"/>
          <w:type w:val="continuous"/>
          <w:pgSz w:w="11900" w:h="16720"/>
          <w:pgMar w:top="1417" w:right="1417" w:bottom="1417" w:left="1417" w:header="850" w:footer="850" w:gutter="0"/>
          <w:pgNumType w:fmt="decimal" w:start="1"/>
          <w:cols w:space="720" w:num="1"/>
        </w:sect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研究者不配合监查／稽查。</w:t>
      </w:r>
    </w:p>
    <w:p w14:paraId="686EB96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对违规事件不予以纠正。</w:t>
      </w:r>
    </w:p>
    <w:p w14:paraId="5317635F">
      <w:pPr>
        <w:wordWrap w:val="0"/>
        <w:spacing w:before="0" w:after="0" w:line="345" w:lineRule="auto"/>
        <w:ind w:left="80" w:right="320" w:firstLine="520"/>
        <w:jc w:val="both"/>
        <w:rPr>
          <w:sz w:val="24"/>
          <w:szCs w:val="24"/>
        </w:rPr>
      </w:pPr>
      <w:r>
        <w:rPr>
          <w:rFonts w:hint="eastAsia" w:ascii="宋体" w:hAnsi="宋体" w:eastAsia="宋体"/>
          <w:color w:val="000000"/>
          <w:sz w:val="24"/>
          <w:szCs w:val="24"/>
        </w:rPr>
        <w:t>为避免研究对受试者的紧急危害，研究者可在伦理</w:t>
      </w:r>
      <w:r>
        <w:rPr>
          <w:rFonts w:hint="eastAsia" w:ascii="宋体" w:hAnsi="宋体"/>
          <w:color w:val="000000"/>
          <w:sz w:val="24"/>
          <w:szCs w:val="24"/>
          <w:lang w:val="en-US" w:eastAsia="zh-CN"/>
        </w:rPr>
        <w:t>审查</w:t>
      </w:r>
      <w:r>
        <w:rPr>
          <w:rFonts w:hint="eastAsia" w:ascii="宋体" w:hAnsi="宋体" w:eastAsia="宋体"/>
          <w:color w:val="000000"/>
          <w:sz w:val="24"/>
          <w:szCs w:val="24"/>
        </w:rPr>
        <w:t>委员会同意前偏离研究方案，事后应以“违背方案报告”的方式，向伦理</w:t>
      </w:r>
      <w:r>
        <w:rPr>
          <w:rFonts w:hint="eastAsia" w:ascii="宋体" w:hAnsi="宋体"/>
          <w:color w:val="000000"/>
          <w:sz w:val="24"/>
          <w:szCs w:val="24"/>
          <w:lang w:val="en-US" w:eastAsia="zh-CN"/>
        </w:rPr>
        <w:t>审查</w:t>
      </w:r>
      <w:r>
        <w:rPr>
          <w:rFonts w:hint="eastAsia" w:ascii="宋体" w:hAnsi="宋体" w:eastAsia="宋体"/>
          <w:color w:val="000000"/>
          <w:sz w:val="24"/>
          <w:szCs w:val="24"/>
        </w:rPr>
        <w:t>委员会报告任何偏离已同意方案之处并作解释。</w:t>
      </w:r>
    </w:p>
    <w:p w14:paraId="39154B66">
      <w:pPr>
        <w:wordWrap w:val="0"/>
        <w:spacing w:before="0" w:after="0" w:line="345" w:lineRule="auto"/>
        <w:ind w:left="80" w:right="320" w:firstLine="520"/>
        <w:jc w:val="both"/>
        <w:rPr>
          <w:rFonts w:hint="eastAsia" w:ascii="宋体" w:hAnsi="宋体" w:eastAsia="宋体"/>
          <w:color w:val="000000"/>
          <w:sz w:val="24"/>
          <w:szCs w:val="24"/>
        </w:rPr>
      </w:pPr>
      <w:r>
        <w:rPr>
          <w:rFonts w:hint="eastAsia" w:ascii="宋体" w:hAnsi="宋体" w:eastAsia="宋体"/>
          <w:color w:val="000000"/>
          <w:sz w:val="24"/>
          <w:szCs w:val="24"/>
        </w:rPr>
        <w:t>其他一般的不依从／偏离方案事件则可定期报告本伦理审查委员会，如可在年度报告／研究进展报告时报告。</w:t>
      </w:r>
    </w:p>
    <w:p w14:paraId="0995D099">
      <w:pPr>
        <w:wordWrap w:val="0"/>
        <w:spacing w:before="0" w:after="0" w:line="345" w:lineRule="auto"/>
        <w:ind w:left="80" w:right="320" w:firstLine="520"/>
        <w:jc w:val="both"/>
        <w:rPr>
          <w:rFonts w:hint="eastAsia" w:ascii="宋体" w:hAnsi="宋体" w:eastAsia="宋体"/>
          <w:color w:val="000000"/>
          <w:sz w:val="24"/>
          <w:szCs w:val="24"/>
        </w:rPr>
      </w:pPr>
      <w:r>
        <w:rPr>
          <w:rFonts w:hint="eastAsia" w:ascii="宋体" w:hAnsi="宋体" w:eastAsia="宋体"/>
          <w:color w:val="000000"/>
          <w:sz w:val="24"/>
          <w:szCs w:val="24"/>
          <w:lang w:val="en-US" w:eastAsia="zh-CN"/>
        </w:rPr>
        <w:t>2.3.5</w:t>
      </w:r>
      <w:r>
        <w:rPr>
          <w:rFonts w:hint="eastAsia" w:ascii="宋体" w:hAnsi="宋体" w:eastAsia="宋体"/>
          <w:color w:val="000000"/>
          <w:sz w:val="24"/>
          <w:szCs w:val="24"/>
        </w:rPr>
        <w:t>终止或者暂停研究报告</w:t>
      </w:r>
    </w:p>
    <w:p w14:paraId="574A37A1">
      <w:pPr>
        <w:wordWrap w:val="0"/>
        <w:spacing w:before="0" w:after="0" w:line="345" w:lineRule="auto"/>
        <w:ind w:left="80" w:right="320" w:firstLine="520"/>
        <w:jc w:val="both"/>
        <w:rPr>
          <w:rFonts w:hint="eastAsia" w:ascii="宋体" w:hAnsi="宋体" w:eastAsia="宋体"/>
          <w:color w:val="000000"/>
          <w:sz w:val="24"/>
          <w:szCs w:val="24"/>
        </w:rPr>
      </w:pPr>
      <w:r>
        <w:rPr>
          <w:rFonts w:hint="eastAsia" w:ascii="宋体" w:hAnsi="宋体" w:eastAsia="宋体"/>
          <w:color w:val="000000"/>
          <w:sz w:val="24"/>
          <w:szCs w:val="24"/>
        </w:rPr>
        <w:t>研究者／申办者提前终止或者暂停临床试验，应当及时向伦理</w:t>
      </w:r>
      <w:r>
        <w:rPr>
          <w:rFonts w:hint="eastAsia" w:ascii="宋体" w:hAnsi="宋体"/>
          <w:color w:val="000000"/>
          <w:sz w:val="24"/>
          <w:szCs w:val="24"/>
          <w:lang w:val="en-US" w:eastAsia="zh-CN"/>
        </w:rPr>
        <w:t>审查</w:t>
      </w:r>
      <w:r>
        <w:rPr>
          <w:rFonts w:hint="eastAsia" w:ascii="宋体" w:hAnsi="宋体" w:eastAsia="宋体"/>
          <w:color w:val="000000"/>
          <w:sz w:val="24"/>
          <w:szCs w:val="24"/>
        </w:rPr>
        <w:t>委员会提交终止／暂停研究报告。</w:t>
      </w:r>
    </w:p>
    <w:p w14:paraId="47528019">
      <w:pPr>
        <w:wordWrap w:val="0"/>
        <w:spacing w:before="0" w:after="0" w:line="345" w:lineRule="auto"/>
        <w:ind w:left="80" w:right="320" w:firstLine="520"/>
        <w:jc w:val="both"/>
        <w:rPr>
          <w:rFonts w:hint="eastAsia" w:ascii="宋体" w:hAnsi="宋体" w:eastAsia="宋体"/>
          <w:color w:val="000000"/>
          <w:sz w:val="24"/>
          <w:szCs w:val="24"/>
        </w:rPr>
      </w:pPr>
      <w:r>
        <w:rPr>
          <w:rFonts w:hint="eastAsia" w:ascii="宋体" w:hAnsi="宋体"/>
          <w:color w:val="000000"/>
          <w:sz w:val="24"/>
          <w:szCs w:val="24"/>
          <w:lang w:val="en-US" w:eastAsia="zh-CN"/>
        </w:rPr>
        <w:t>2.3.6</w:t>
      </w:r>
      <w:r>
        <w:rPr>
          <w:rFonts w:hint="eastAsia" w:ascii="宋体" w:hAnsi="宋体" w:eastAsia="宋体"/>
          <w:color w:val="000000"/>
          <w:sz w:val="24"/>
          <w:szCs w:val="24"/>
        </w:rPr>
        <w:t>研究完成报告</w:t>
      </w:r>
    </w:p>
    <w:p w14:paraId="532CEF40">
      <w:pPr>
        <w:wordWrap w:val="0"/>
        <w:spacing w:before="0" w:after="0" w:line="345" w:lineRule="auto"/>
        <w:ind w:left="80" w:right="320" w:firstLine="520"/>
        <w:jc w:val="both"/>
        <w:rPr>
          <w:rFonts w:hint="eastAsia" w:ascii="宋体" w:hAnsi="宋体" w:eastAsia="宋体"/>
          <w:color w:val="000000"/>
          <w:sz w:val="24"/>
          <w:szCs w:val="24"/>
        </w:rPr>
      </w:pPr>
      <w:r>
        <w:rPr>
          <w:rFonts w:hint="eastAsia" w:ascii="宋体" w:hAnsi="宋体" w:eastAsia="宋体"/>
          <w:color w:val="000000"/>
          <w:sz w:val="24"/>
          <w:szCs w:val="24"/>
        </w:rPr>
        <w:t>（本中心）研究完成后，研究者应当向研究机构报告；向伦理</w:t>
      </w:r>
      <w:r>
        <w:rPr>
          <w:rFonts w:hint="eastAsia" w:ascii="宋体" w:hAnsi="宋体"/>
          <w:color w:val="000000"/>
          <w:sz w:val="24"/>
          <w:szCs w:val="24"/>
          <w:lang w:val="en-US" w:eastAsia="zh-CN"/>
        </w:rPr>
        <w:t>审查</w:t>
      </w:r>
      <w:r>
        <w:rPr>
          <w:rFonts w:hint="eastAsia" w:ascii="宋体" w:hAnsi="宋体" w:eastAsia="宋体"/>
          <w:color w:val="000000"/>
          <w:sz w:val="24"/>
          <w:szCs w:val="24"/>
        </w:rPr>
        <w:t>委员会提交研究完成报告，以证明研究的完成。</w:t>
      </w:r>
    </w:p>
    <w:p w14:paraId="5AEFEBD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3．复审</w:t>
      </w:r>
    </w:p>
    <w:p w14:paraId="326A1A5D">
      <w:pPr>
        <w:pageBreakBefore w:val="0"/>
        <w:widowControl w:val="0"/>
        <w:numPr>
          <w:ilvl w:val="0"/>
          <w:numId w:val="0"/>
        </w:numPr>
        <w:kinsoku/>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复审申请：</w:t>
      </w:r>
    </w:p>
    <w:p w14:paraId="346A72C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上述初始审查和跟踪审查后，按伦理审查意见“必要的修改后同意”，对方案进行修改后，应以“复审申请”的方式再次送审，经伦理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委员会审查同意后方可实施。</w:t>
      </w:r>
    </w:p>
    <w:p w14:paraId="2F61708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如果对伦理审查意见有不同的看法，可以通过“复审申请”的方式提出不同意见，请伦理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委员会重新考虑决定。</w:t>
      </w:r>
    </w:p>
    <w:p w14:paraId="16EEDFC4">
      <w:pPr>
        <w:pageBreakBefore w:val="0"/>
        <w:widowControl w:val="0"/>
        <w:numPr>
          <w:ilvl w:val="0"/>
          <w:numId w:val="0"/>
        </w:numPr>
        <w:kinsoku/>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三、免除</w:t>
      </w:r>
      <w:r>
        <w:rPr>
          <w:rFonts w:hint="eastAsia" w:ascii="宋体" w:hAnsi="宋体" w:cs="宋体"/>
          <w:color w:val="000000"/>
          <w:sz w:val="24"/>
          <w:szCs w:val="24"/>
          <w:lang w:val="en-US" w:eastAsia="zh-CN"/>
        </w:rPr>
        <w:t>伦理</w:t>
      </w:r>
      <w:r>
        <w:rPr>
          <w:rFonts w:hint="eastAsia" w:ascii="宋体" w:hAnsi="宋体" w:eastAsia="宋体" w:cs="宋体"/>
          <w:color w:val="000000"/>
          <w:sz w:val="24"/>
          <w:szCs w:val="24"/>
        </w:rPr>
        <w:t>审查</w:t>
      </w:r>
    </w:p>
    <w:p w14:paraId="54C93FB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使用人的信息数据或者生物样本开展以下情形的涉及人的生命科学和医学研究，不对人体造成伤害、不涉及敏感个人信息或者商业利益的，可以免除伦理审查：</w:t>
      </w:r>
    </w:p>
    <w:p w14:paraId="4086D11A">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1．利用合法获得的公开数据，或者通过观察且不干扰公共行为产生的数据进行研究的：</w:t>
      </w:r>
    </w:p>
    <w:p w14:paraId="18B3C05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2．使用匿名化的信息数据开展研究的；</w:t>
      </w:r>
    </w:p>
    <w:p w14:paraId="44E05C1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14:paraId="6A9BF6E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4．使用生物样本库来源的人源细胞株或者细胞系等开展研究，研究相关内容和目的在提供方授权范围内，且不涉及人胚胎和生殖性克隆、嵌合、可遗传的基因操作等活动的。</w:t>
      </w:r>
    </w:p>
    <w:p w14:paraId="427DFE7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四 免除知情同意</w:t>
      </w:r>
    </w:p>
    <w:p w14:paraId="3981CE97">
      <w:pPr>
        <w:numPr>
          <w:ilvl w:val="0"/>
          <w:numId w:val="3"/>
        </w:numPr>
        <w:wordWrap w:val="0"/>
        <w:spacing w:before="35" w:after="0" w:line="321" w:lineRule="auto"/>
        <w:ind w:left="40" w:right="20" w:firstLine="500"/>
        <w:jc w:val="both"/>
        <w:rPr>
          <w:rFonts w:hint="default" w:ascii="宋体" w:hAnsi="宋体" w:cs="宋体"/>
          <w:color w:val="000000"/>
          <w:sz w:val="24"/>
          <w:szCs w:val="24"/>
          <w:lang w:val="en-US" w:eastAsia="zh-CN"/>
        </w:rPr>
      </w:pPr>
      <w:r>
        <w:rPr>
          <w:rFonts w:hint="eastAsia" w:ascii="宋体" w:hAnsi="宋体" w:eastAsia="宋体"/>
          <w:color w:val="000000"/>
          <w:sz w:val="26"/>
        </w:rPr>
        <w:t>利用以往临床诊疗、疾病监测中获得的医疗记录和生物标本的研究，并且符合以下全部条件，可以申请免除知情同意：</w:t>
      </w:r>
    </w:p>
    <w:p w14:paraId="59AE27C3">
      <w:pPr>
        <w:numPr>
          <w:ilvl w:val="0"/>
          <w:numId w:val="0"/>
        </w:numPr>
        <w:wordWrap w:val="0"/>
        <w:spacing w:before="35" w:after="0" w:line="321" w:lineRule="auto"/>
        <w:ind w:right="20" w:rightChars="0" w:firstLine="520" w:firstLineChars="200"/>
        <w:jc w:val="both"/>
        <w:rPr>
          <w:rFonts w:hint="eastAsia" w:ascii="宋体" w:hAnsi="宋体" w:eastAsia="宋体"/>
          <w:color w:val="000000"/>
          <w:sz w:val="26"/>
        </w:rPr>
      </w:pPr>
      <w:r>
        <w:rPr>
          <w:rFonts w:hint="eastAsia" w:ascii="宋体" w:hAnsi="宋体"/>
          <w:color w:val="000000"/>
          <w:sz w:val="26"/>
          <w:lang w:val="en-US" w:eastAsia="zh-CN"/>
        </w:rPr>
        <w:t>1.1</w:t>
      </w:r>
      <w:r>
        <w:rPr>
          <w:rFonts w:hint="eastAsia" w:ascii="宋体" w:hAnsi="宋体" w:eastAsia="宋体"/>
          <w:color w:val="000000"/>
          <w:sz w:val="26"/>
        </w:rPr>
        <w:t>研究目的是重要的。</w:t>
      </w:r>
    </w:p>
    <w:p w14:paraId="09E3B484">
      <w:pPr>
        <w:numPr>
          <w:ilvl w:val="0"/>
          <w:numId w:val="0"/>
        </w:numPr>
        <w:wordWrap w:val="0"/>
        <w:spacing w:before="35" w:after="0" w:line="321" w:lineRule="auto"/>
        <w:ind w:left="540" w:leftChars="0" w:right="20" w:rightChars="0"/>
        <w:jc w:val="both"/>
        <w:rPr>
          <w:rFonts w:hint="eastAsia" w:ascii="宋体" w:hAnsi="宋体" w:eastAsia="宋体"/>
          <w:color w:val="000000"/>
          <w:sz w:val="26"/>
        </w:rPr>
      </w:pPr>
      <w:r>
        <w:rPr>
          <w:rFonts w:hint="eastAsia" w:ascii="宋体" w:hAnsi="宋体"/>
          <w:color w:val="000000"/>
          <w:sz w:val="26"/>
          <w:lang w:val="en-US" w:eastAsia="zh-CN"/>
        </w:rPr>
        <w:t>1.2</w:t>
      </w:r>
      <w:r>
        <w:rPr>
          <w:rFonts w:hint="eastAsia" w:ascii="宋体" w:hAnsi="宋体" w:eastAsia="宋体"/>
          <w:color w:val="000000"/>
          <w:sz w:val="26"/>
        </w:rPr>
        <w:t>研究对受试者的风险不大于最小风险。</w:t>
      </w:r>
    </w:p>
    <w:p w14:paraId="5BF3CA1A">
      <w:pPr>
        <w:numPr>
          <w:ilvl w:val="0"/>
          <w:numId w:val="0"/>
        </w:numPr>
        <w:wordWrap w:val="0"/>
        <w:spacing w:before="35" w:after="0" w:line="321" w:lineRule="auto"/>
        <w:ind w:left="540" w:leftChars="0" w:right="20" w:rightChars="0"/>
        <w:jc w:val="both"/>
        <w:rPr>
          <w:rFonts w:hint="eastAsia" w:ascii="宋体" w:hAnsi="宋体" w:eastAsia="宋体"/>
          <w:color w:val="000000"/>
          <w:sz w:val="26"/>
        </w:rPr>
      </w:pPr>
      <w:r>
        <w:rPr>
          <w:rFonts w:hint="eastAsia" w:ascii="宋体" w:hAnsi="宋体"/>
          <w:color w:val="000000"/>
          <w:sz w:val="26"/>
          <w:lang w:val="en-US" w:eastAsia="zh-CN"/>
        </w:rPr>
        <w:t>1.3</w:t>
      </w:r>
      <w:r>
        <w:rPr>
          <w:rFonts w:hint="eastAsia" w:ascii="宋体" w:hAnsi="宋体" w:eastAsia="宋体"/>
          <w:color w:val="000000"/>
          <w:sz w:val="26"/>
        </w:rPr>
        <w:t>免除知情同意不会对受试者的权利和健康产生不利的影响。</w:t>
      </w:r>
    </w:p>
    <w:p w14:paraId="20359CDB">
      <w:pPr>
        <w:numPr>
          <w:ilvl w:val="0"/>
          <w:numId w:val="0"/>
        </w:numPr>
        <w:wordWrap w:val="0"/>
        <w:spacing w:before="35" w:after="0" w:line="321" w:lineRule="auto"/>
        <w:ind w:left="540" w:leftChars="0" w:right="20" w:rightChars="0"/>
        <w:jc w:val="both"/>
        <w:rPr>
          <w:rFonts w:hint="eastAsia" w:ascii="宋体" w:hAnsi="宋体" w:eastAsia="宋体"/>
          <w:color w:val="000000"/>
          <w:sz w:val="26"/>
        </w:rPr>
      </w:pPr>
      <w:r>
        <w:rPr>
          <w:rFonts w:hint="eastAsia" w:ascii="宋体" w:hAnsi="宋体"/>
          <w:color w:val="000000"/>
          <w:sz w:val="26"/>
          <w:lang w:val="en-US" w:eastAsia="zh-CN"/>
        </w:rPr>
        <w:t>1.4</w:t>
      </w:r>
      <w:r>
        <w:rPr>
          <w:rFonts w:hint="eastAsia" w:ascii="宋体" w:hAnsi="宋体" w:eastAsia="宋体"/>
          <w:color w:val="000000"/>
          <w:sz w:val="26"/>
        </w:rPr>
        <w:t>受试者的隐私和个人身份信息得到保护。</w:t>
      </w:r>
    </w:p>
    <w:p w14:paraId="041BCB60">
      <w:pPr>
        <w:numPr>
          <w:ilvl w:val="0"/>
          <w:numId w:val="0"/>
        </w:numPr>
        <w:wordWrap w:val="0"/>
        <w:spacing w:before="35" w:after="0" w:line="321" w:lineRule="auto"/>
        <w:ind w:left="540" w:leftChars="0" w:right="20" w:rightChars="0"/>
        <w:jc w:val="both"/>
        <w:rPr>
          <w:rFonts w:hint="eastAsia" w:ascii="宋体" w:hAnsi="宋体" w:eastAsia="宋体"/>
          <w:color w:val="000000"/>
          <w:sz w:val="26"/>
        </w:rPr>
      </w:pPr>
      <w:r>
        <w:rPr>
          <w:rFonts w:hint="eastAsia" w:ascii="宋体" w:hAnsi="宋体"/>
          <w:color w:val="000000"/>
          <w:sz w:val="26"/>
          <w:lang w:val="en-US" w:eastAsia="zh-CN"/>
        </w:rPr>
        <w:t>1.5</w:t>
      </w:r>
      <w:r>
        <w:rPr>
          <w:rFonts w:hint="eastAsia" w:ascii="宋体" w:hAnsi="宋体" w:eastAsia="宋体"/>
          <w:color w:val="000000"/>
          <w:sz w:val="26"/>
        </w:rPr>
        <w:t>若规定需获取知情同意，研究将无法进行（病人／受试者拒绝或不同意参加研究，不是研究无法实施、免除知情同意的理由）。</w:t>
      </w:r>
    </w:p>
    <w:p w14:paraId="44820521">
      <w:pPr>
        <w:numPr>
          <w:ilvl w:val="0"/>
          <w:numId w:val="0"/>
        </w:numPr>
        <w:wordWrap w:val="0"/>
        <w:spacing w:before="35" w:after="0" w:line="321" w:lineRule="auto"/>
        <w:ind w:left="540" w:leftChars="0" w:right="20" w:rightChars="0"/>
        <w:jc w:val="both"/>
        <w:rPr>
          <w:rFonts w:hint="eastAsia" w:ascii="宋体" w:hAnsi="宋体" w:eastAsia="宋体"/>
          <w:color w:val="000000"/>
          <w:sz w:val="26"/>
        </w:rPr>
      </w:pPr>
      <w:r>
        <w:rPr>
          <w:rFonts w:hint="eastAsia" w:ascii="宋体" w:hAnsi="宋体"/>
          <w:color w:val="000000"/>
          <w:sz w:val="26"/>
          <w:lang w:val="en-US" w:eastAsia="zh-CN"/>
        </w:rPr>
        <w:t>1.6</w:t>
      </w:r>
      <w:r>
        <w:rPr>
          <w:rFonts w:hint="eastAsia" w:ascii="宋体" w:hAnsi="宋体" w:eastAsia="宋体"/>
          <w:color w:val="000000"/>
          <w:sz w:val="26"/>
        </w:rPr>
        <w:t>只要有可能，应在研究后的适当时候向受试者提供适当的有关信息。</w:t>
      </w:r>
    </w:p>
    <w:p w14:paraId="505EBB42">
      <w:pPr>
        <w:numPr>
          <w:ilvl w:val="0"/>
          <w:numId w:val="0"/>
        </w:numPr>
        <w:wordWrap w:val="0"/>
        <w:spacing w:before="35" w:after="0" w:line="321" w:lineRule="auto"/>
        <w:ind w:left="540" w:leftChars="0" w:right="20" w:rightChars="0"/>
        <w:jc w:val="both"/>
        <w:rPr>
          <w:rFonts w:hint="eastAsia" w:ascii="宋体" w:hAnsi="宋体" w:eastAsia="宋体"/>
          <w:color w:val="000000"/>
          <w:sz w:val="26"/>
        </w:rPr>
      </w:pPr>
      <w:r>
        <w:rPr>
          <w:rFonts w:hint="eastAsia" w:ascii="宋体" w:hAnsi="宋体"/>
          <w:color w:val="000000"/>
          <w:sz w:val="26"/>
          <w:lang w:val="en-US" w:eastAsia="zh-CN"/>
        </w:rPr>
        <w:t>1.7</w:t>
      </w:r>
      <w:r>
        <w:rPr>
          <w:rFonts w:hint="eastAsia" w:ascii="宋体" w:hAnsi="宋体" w:eastAsia="宋体"/>
          <w:color w:val="000000"/>
          <w:sz w:val="26"/>
        </w:rPr>
        <w:t>若病人／受试者先前已明确拒绝在将来的研究中使用其医疗记录和标本，则该受试者的医疗记录和标本只有在公共卫生紧急情况需要时才可被使用。</w:t>
      </w:r>
    </w:p>
    <w:p w14:paraId="413221A4">
      <w:pPr>
        <w:pageBreakBefore w:val="0"/>
        <w:widowControl w:val="0"/>
        <w:numPr>
          <w:ilvl w:val="0"/>
          <w:numId w:val="3"/>
        </w:numPr>
        <w:kinsoku/>
        <w:overflowPunct/>
        <w:topLinePunct w:val="0"/>
        <w:autoSpaceDE/>
        <w:autoSpaceDN/>
        <w:bidi w:val="0"/>
        <w:adjustRightInd w:val="0"/>
        <w:snapToGrid w:val="0"/>
        <w:spacing w:line="360" w:lineRule="auto"/>
        <w:ind w:left="40" w:leftChars="0" w:firstLine="50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利用以往研究中获得的医疗记录和生物标本的研究（研究病历／生物标本的二次利用），并且符合以下全部条件，可以申请免除知情同意：</w:t>
      </w:r>
    </w:p>
    <w:p w14:paraId="19BEE4CA">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2.1</w:t>
      </w:r>
      <w:r>
        <w:rPr>
          <w:rFonts w:hint="eastAsia" w:ascii="宋体" w:hAnsi="宋体" w:eastAsia="宋体" w:cs="宋体"/>
          <w:color w:val="000000"/>
          <w:sz w:val="24"/>
          <w:szCs w:val="24"/>
        </w:rPr>
        <w:t>以往研究已获得受试者的书面同意，允许其他的研究项目使用其病历或标本。</w:t>
      </w:r>
    </w:p>
    <w:p w14:paraId="1752350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2.2</w:t>
      </w:r>
      <w:r>
        <w:rPr>
          <w:rFonts w:hint="eastAsia" w:ascii="宋体" w:hAnsi="宋体" w:eastAsia="宋体" w:cs="宋体"/>
          <w:color w:val="000000"/>
          <w:sz w:val="24"/>
          <w:szCs w:val="24"/>
        </w:rPr>
        <w:t>本次研究符合原知情同意的许可条件。</w:t>
      </w:r>
    </w:p>
    <w:p w14:paraId="5D5CBCC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2.3</w:t>
      </w:r>
      <w:r>
        <w:rPr>
          <w:rFonts w:hint="eastAsia" w:ascii="宋体" w:hAnsi="宋体" w:eastAsia="宋体" w:cs="宋体"/>
          <w:color w:val="000000"/>
          <w:sz w:val="24"/>
          <w:szCs w:val="24"/>
        </w:rPr>
        <w:t>受试者的隐私和身份信息的保密得到保证。</w:t>
      </w:r>
    </w:p>
    <w:p w14:paraId="516FFB6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五、免除知情同意书签字</w:t>
      </w:r>
    </w:p>
    <w:p w14:paraId="26CDDCF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以下两种情况可以申请免除知情同意签字：</w:t>
      </w:r>
    </w:p>
    <w:p w14:paraId="69CEBFC4">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sectPr>
          <w:headerReference r:id="rId9" w:type="default"/>
          <w:footerReference r:id="rId10" w:type="default"/>
          <w:type w:val="continuous"/>
          <w:pgSz w:w="11900" w:h="15980"/>
          <w:pgMar w:top="1417" w:right="1417" w:bottom="1417" w:left="1417" w:header="850" w:footer="850" w:gutter="0"/>
          <w:pgNumType w:fmt="decimal"/>
          <w:cols w:space="720" w:num="1"/>
        </w:sectPr>
      </w:pPr>
      <w:r>
        <w:rPr>
          <w:rFonts w:hint="eastAsia" w:ascii="宋体" w:hAnsi="宋体" w:eastAsia="宋体" w:cs="宋体"/>
          <w:color w:val="000000"/>
          <w:sz w:val="24"/>
          <w:szCs w:val="24"/>
        </w:rPr>
        <w:t>（1）当一份签了字的知情同意书会对受试者的隐私构成不正当的威胁，联系受试</w:t>
      </w:r>
    </w:p>
    <w:p w14:paraId="7DC8B671">
      <w:pPr>
        <w:pageBreakBefore w:val="0"/>
        <w:widowControl w:val="0"/>
        <w:numPr>
          <w:ilvl w:val="0"/>
          <w:numId w:val="0"/>
        </w:numPr>
        <w:kinsoku/>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者真实身份和研究的唯一记录是知情同意文件，并且主要风险就来自于受试者身份或个人隐私的泄露。在这种情况下，应该遵循每一位受试者本人的意愿是否签署书面知情同意文件。</w:t>
      </w:r>
    </w:p>
    <w:p w14:paraId="334052F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研究对受试者的风险不大于最小风险，并且如果脱离“研究”背景，相同情况下的行为或程序不要求签署书面知情同意。例如，访谈研究，邮件／电话调查。对于批准免除签署书面知情同意文件的研究项目，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委员会可以要求研究者向受试者提供书面告知信息。</w:t>
      </w:r>
    </w:p>
    <w:p w14:paraId="62E2D28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六、提交伦理审查的流程</w:t>
      </w:r>
    </w:p>
    <w:p w14:paraId="576CF1CA">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1．送审</w:t>
      </w:r>
    </w:p>
    <w:p w14:paraId="462A15FB">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送审责任者：新药和医疗器械临床试验的申办者一般负责准备送审材料。</w:t>
      </w:r>
    </w:p>
    <w:p w14:paraId="593CE70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准备送审材料：根据送审类别和“送审材料清单”（AF／SS-01</w:t>
      </w:r>
      <w:r>
        <w:rPr>
          <w:rFonts w:hint="eastAsia" w:ascii="宋体" w:hAnsi="宋体" w:cs="宋体"/>
          <w:color w:val="000000"/>
          <w:sz w:val="24"/>
          <w:szCs w:val="24"/>
          <w:lang w:val="en-US" w:eastAsia="zh-CN"/>
        </w:rPr>
        <w:t>/01.1</w:t>
      </w:r>
      <w:r>
        <w:rPr>
          <w:rFonts w:hint="eastAsia" w:ascii="宋体" w:hAnsi="宋体" w:eastAsia="宋体" w:cs="宋体"/>
          <w:color w:val="000000"/>
          <w:sz w:val="24"/>
          <w:szCs w:val="24"/>
        </w:rPr>
        <w:t>），准备送审材料。上市前药物临床试验取得国家药品监督管理局受理函方可提交伦理审查。送审材料应当同时提交书面和PDF格式的电子文件。研究方案、知情同意书、招募广告、提供给受试者的其他书面资料、病例报告表、研究者手册等送审材料应当注明版本号和版本日期。</w:t>
      </w:r>
    </w:p>
    <w:p w14:paraId="31DED0A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送审的电子文件</w:t>
      </w:r>
      <w:r>
        <w:rPr>
          <w:rFonts w:hint="eastAsia" w:ascii="宋体" w:hAnsi="宋体" w:cs="宋体"/>
          <w:color w:val="000000"/>
          <w:sz w:val="24"/>
          <w:szCs w:val="24"/>
          <w:lang w:val="en-US" w:eastAsia="zh-CN"/>
        </w:rPr>
        <w:t>可以通过京办、蓝信、OA内部办公系统</w:t>
      </w:r>
      <w:r>
        <w:rPr>
          <w:rFonts w:hint="eastAsia" w:ascii="宋体" w:hAnsi="宋体" w:eastAsia="宋体" w:cs="宋体"/>
          <w:color w:val="000000"/>
          <w:sz w:val="24"/>
          <w:szCs w:val="24"/>
        </w:rPr>
        <w:t>发送给伦理秘书，通过形式审查后，再正式提交伦理递交信（AF／SS-02</w:t>
      </w:r>
      <w:r>
        <w:rPr>
          <w:rFonts w:hint="eastAsia" w:ascii="宋体" w:hAnsi="宋体" w:cs="宋体"/>
          <w:color w:val="000000"/>
          <w:sz w:val="24"/>
          <w:szCs w:val="24"/>
          <w:lang w:val="en-US" w:eastAsia="zh-CN"/>
        </w:rPr>
        <w:t>/01.0</w:t>
      </w:r>
      <w:r>
        <w:rPr>
          <w:rFonts w:hint="eastAsia" w:ascii="宋体" w:hAnsi="宋体" w:eastAsia="宋体" w:cs="宋体"/>
          <w:color w:val="000000"/>
          <w:sz w:val="24"/>
          <w:szCs w:val="24"/>
        </w:rPr>
        <w:t>）和与系统中完全一致的完整版书面材料3份、简版材料</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份至伦理秘书处。送审材料的语言是中文。完整版的资料</w:t>
      </w:r>
      <w:r>
        <w:rPr>
          <w:rFonts w:hint="eastAsia" w:ascii="宋体" w:hAnsi="宋体" w:cs="宋体"/>
          <w:color w:val="000000"/>
          <w:sz w:val="24"/>
          <w:szCs w:val="24"/>
          <w:lang w:val="en-US" w:eastAsia="zh-CN"/>
        </w:rPr>
        <w:t>用订书钉订好</w:t>
      </w:r>
      <w:r>
        <w:rPr>
          <w:rFonts w:hint="eastAsia" w:ascii="宋体" w:hAnsi="宋体" w:eastAsia="宋体" w:cs="宋体"/>
          <w:color w:val="000000"/>
          <w:sz w:val="24"/>
          <w:szCs w:val="24"/>
        </w:rPr>
        <w:t>，并用隔页标签纸把每个部分的材料分开，以利于翻阅。其余1</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份为简版材料，只需要装订研究方案和知情同意书。如本院开通网络伦理审查管理系统</w:t>
      </w:r>
      <w:r>
        <w:rPr>
          <w:rFonts w:hint="eastAsia" w:ascii="宋体" w:hAnsi="宋体" w:cs="宋体"/>
          <w:color w:val="000000"/>
          <w:sz w:val="24"/>
          <w:szCs w:val="24"/>
          <w:lang w:val="en-US" w:eastAsia="zh-CN"/>
        </w:rPr>
        <w:t>后</w:t>
      </w:r>
      <w:r>
        <w:rPr>
          <w:rFonts w:hint="eastAsia" w:ascii="宋体" w:hAnsi="宋体" w:eastAsia="宋体" w:cs="宋体"/>
          <w:color w:val="000000"/>
          <w:sz w:val="24"/>
          <w:szCs w:val="24"/>
        </w:rPr>
        <w:t>，简版材料可不予提交。</w:t>
      </w:r>
    </w:p>
    <w:p w14:paraId="26BD9C0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报送资料完整版里面每个部分都要盖红章，申请报告和方案签字页需要PI签字，委托书需要申办方签字、盖章。其他各项材料盖封面及骑缝章。</w:t>
      </w:r>
    </w:p>
    <w:p w14:paraId="1DD023B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本院开展的除药物及器械临床试验外的科研项目，申请时只需提交伦理审查申请书（初始审查或复审）或</w:t>
      </w:r>
      <w:r>
        <w:rPr>
          <w:rFonts w:hint="eastAsia" w:ascii="宋体" w:hAnsi="宋体" w:eastAsia="宋体" w:cs="宋体"/>
          <w:color w:val="000000"/>
          <w:sz w:val="24"/>
          <w:szCs w:val="24"/>
        </w:rPr>
        <w:t>免除伦理审查申请书</w:t>
      </w:r>
      <w:r>
        <w:rPr>
          <w:rFonts w:hint="eastAsia" w:ascii="宋体" w:hAnsi="宋体" w:cs="宋体"/>
          <w:color w:val="000000"/>
          <w:sz w:val="24"/>
          <w:szCs w:val="24"/>
          <w:lang w:val="en-US" w:eastAsia="zh-CN"/>
        </w:rPr>
        <w:t>、科研诚信承诺书、研究设计方案（电子版及2份纸质版）即可</w:t>
      </w:r>
    </w:p>
    <w:p w14:paraId="56595B4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送审的表格或报告：</w:t>
      </w:r>
      <w:r>
        <w:rPr>
          <w:rFonts w:hint="eastAsia" w:ascii="宋体" w:hAnsi="宋体" w:cs="宋体"/>
          <w:color w:val="000000"/>
          <w:sz w:val="24"/>
          <w:szCs w:val="24"/>
          <w:lang w:val="en-US" w:eastAsia="zh-CN"/>
        </w:rPr>
        <w:t>伦理办公室提供申请表/报告。</w:t>
      </w:r>
      <w:r>
        <w:rPr>
          <w:rFonts w:hint="eastAsia" w:ascii="宋体" w:hAnsi="宋体" w:eastAsia="宋体" w:cs="宋体"/>
          <w:color w:val="000000"/>
          <w:sz w:val="24"/>
          <w:szCs w:val="24"/>
        </w:rPr>
        <w:t>根据送审类别，填写相应的申请表／报告。</w:t>
      </w:r>
    </w:p>
    <w:p w14:paraId="4832DE2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SS-01</w:t>
      </w:r>
      <w:r>
        <w:rPr>
          <w:rFonts w:hint="eastAsia" w:cs="Times New Roman"/>
          <w:color w:val="000000"/>
          <w:sz w:val="24"/>
          <w:szCs w:val="24"/>
          <w:lang w:val="en-US" w:eastAsia="zh-CN"/>
        </w:rPr>
        <w:t>/01.0</w:t>
      </w:r>
      <w:r>
        <w:rPr>
          <w:rFonts w:hint="eastAsia" w:ascii="宋体" w:hAnsi="宋体" w:eastAsia="宋体" w:cs="宋体"/>
          <w:color w:val="000000"/>
          <w:sz w:val="24"/>
          <w:szCs w:val="24"/>
        </w:rPr>
        <w:t xml:space="preserve"> 送审材料清单</w:t>
      </w:r>
    </w:p>
    <w:p w14:paraId="75708154">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SS-02</w:t>
      </w:r>
      <w:r>
        <w:rPr>
          <w:rFonts w:hint="default" w:ascii="Times New Roman" w:hAnsi="Times New Roman" w:eastAsia="宋体" w:cs="Times New Roman"/>
          <w:color w:val="000000"/>
          <w:sz w:val="24"/>
          <w:szCs w:val="24"/>
          <w:lang w:val="en-US" w:eastAsia="zh-CN"/>
        </w:rPr>
        <w:t>/01.0</w:t>
      </w:r>
      <w:r>
        <w:rPr>
          <w:rFonts w:hint="eastAsia" w:ascii="宋体" w:hAnsi="宋体" w:eastAsia="宋体" w:cs="宋体"/>
          <w:color w:val="000000"/>
          <w:sz w:val="24"/>
          <w:szCs w:val="24"/>
        </w:rPr>
        <w:t xml:space="preserve"> 伦理递交信</w:t>
      </w:r>
    </w:p>
    <w:p w14:paraId="1CEFA66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SS-03</w:t>
      </w:r>
      <w:r>
        <w:rPr>
          <w:rFonts w:hint="default" w:ascii="Times New Roman" w:hAnsi="Times New Roman" w:cs="Times New Roman"/>
          <w:color w:val="000000"/>
          <w:sz w:val="24"/>
          <w:szCs w:val="24"/>
          <w:lang w:val="en-US" w:eastAsia="zh-CN"/>
        </w:rPr>
        <w:t>/01.0</w:t>
      </w:r>
      <w:r>
        <w:rPr>
          <w:rFonts w:hint="default" w:ascii="Times New Roman" w:hAnsi="Times New Roman" w:eastAsia="宋体" w:cs="Times New Roman"/>
          <w:color w:val="000000"/>
          <w:sz w:val="24"/>
          <w:szCs w:val="24"/>
        </w:rPr>
        <w:t xml:space="preserve"> </w:t>
      </w:r>
      <w:r>
        <w:rPr>
          <w:rFonts w:hint="eastAsia" w:ascii="宋体" w:hAnsi="宋体" w:eastAsia="宋体" w:cs="宋体"/>
          <w:color w:val="000000"/>
          <w:sz w:val="24"/>
          <w:szCs w:val="24"/>
        </w:rPr>
        <w:t>伦理审查申请书（初始审查）</w:t>
      </w:r>
    </w:p>
    <w:p w14:paraId="261D11DE">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SS-04</w:t>
      </w:r>
      <w:r>
        <w:rPr>
          <w:rFonts w:hint="default" w:ascii="Times New Roman" w:hAnsi="Times New Roman" w:cs="Times New Roman"/>
          <w:color w:val="000000"/>
          <w:sz w:val="24"/>
          <w:szCs w:val="24"/>
          <w:lang w:val="en-US" w:eastAsia="zh-CN"/>
        </w:rPr>
        <w:t>/01.0</w:t>
      </w:r>
      <w:r>
        <w:rPr>
          <w:rFonts w:hint="eastAsia" w:ascii="宋体" w:hAnsi="宋体" w:eastAsia="宋体" w:cs="宋体"/>
          <w:color w:val="000000"/>
          <w:sz w:val="24"/>
          <w:szCs w:val="24"/>
        </w:rPr>
        <w:t xml:space="preserve"> 科研诚信承诺书</w:t>
      </w:r>
    </w:p>
    <w:p w14:paraId="1E4EFDB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SS-05</w:t>
      </w:r>
      <w:r>
        <w:rPr>
          <w:rFonts w:hint="default" w:ascii="Times New Roman" w:hAnsi="Times New Roman" w:cs="Times New Roman"/>
          <w:color w:val="000000"/>
          <w:sz w:val="24"/>
          <w:szCs w:val="24"/>
          <w:lang w:val="en-US" w:eastAsia="zh-CN"/>
        </w:rPr>
        <w:t>/01.0</w:t>
      </w:r>
      <w:r>
        <w:rPr>
          <w:rFonts w:hint="eastAsia" w:ascii="宋体" w:hAnsi="宋体" w:eastAsia="宋体" w:cs="宋体"/>
          <w:color w:val="000000"/>
          <w:sz w:val="24"/>
          <w:szCs w:val="24"/>
        </w:rPr>
        <w:t xml:space="preserve"> 免除知情同意或免签知情同意书申请表</w:t>
      </w:r>
    </w:p>
    <w:p w14:paraId="0D2F7D5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SS-06</w:t>
      </w:r>
      <w:r>
        <w:rPr>
          <w:rFonts w:hint="default" w:ascii="Times New Roman" w:hAnsi="Times New Roman" w:cs="Times New Roman"/>
          <w:color w:val="000000"/>
          <w:sz w:val="24"/>
          <w:szCs w:val="24"/>
          <w:lang w:val="en-US" w:eastAsia="zh-CN"/>
        </w:rPr>
        <w:t>/01.0</w:t>
      </w:r>
      <w:r>
        <w:rPr>
          <w:rFonts w:hint="default" w:ascii="Times New Roman" w:hAnsi="Times New Roman" w:eastAsia="宋体" w:cs="Times New Roman"/>
          <w:color w:val="000000"/>
          <w:sz w:val="24"/>
          <w:szCs w:val="24"/>
        </w:rPr>
        <w:t xml:space="preserve"> </w:t>
      </w:r>
      <w:r>
        <w:rPr>
          <w:rFonts w:hint="eastAsia" w:ascii="宋体" w:hAnsi="宋体" w:eastAsia="宋体" w:cs="宋体"/>
          <w:color w:val="000000"/>
          <w:sz w:val="24"/>
          <w:szCs w:val="24"/>
        </w:rPr>
        <w:t>修正案审查申请表</w:t>
      </w:r>
    </w:p>
    <w:p w14:paraId="430E7D1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SS-07</w:t>
      </w:r>
      <w:r>
        <w:rPr>
          <w:rFonts w:hint="default" w:ascii="Times New Roman" w:hAnsi="Times New Roman" w:cs="Times New Roman"/>
          <w:color w:val="000000"/>
          <w:sz w:val="24"/>
          <w:szCs w:val="24"/>
          <w:lang w:val="en-US" w:eastAsia="zh-CN"/>
        </w:rPr>
        <w:t>/01.0</w:t>
      </w:r>
      <w:r>
        <w:rPr>
          <w:rFonts w:hint="eastAsia" w:ascii="宋体" w:hAnsi="宋体" w:eastAsia="宋体" w:cs="宋体"/>
          <w:color w:val="000000"/>
          <w:sz w:val="24"/>
          <w:szCs w:val="24"/>
        </w:rPr>
        <w:t xml:space="preserve"> 研究进展报告</w:t>
      </w:r>
    </w:p>
    <w:p w14:paraId="0C12906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SS-08</w:t>
      </w:r>
      <w:r>
        <w:rPr>
          <w:rFonts w:hint="default" w:ascii="Times New Roman" w:hAnsi="Times New Roman" w:cs="Times New Roman"/>
          <w:color w:val="000000"/>
          <w:sz w:val="24"/>
          <w:szCs w:val="24"/>
          <w:lang w:val="en-US" w:eastAsia="zh-CN"/>
        </w:rPr>
        <w:t>/01.0</w:t>
      </w:r>
      <w:r>
        <w:rPr>
          <w:rFonts w:hint="eastAsia" w:ascii="宋体" w:hAnsi="宋体" w:eastAsia="宋体" w:cs="宋体"/>
          <w:color w:val="000000"/>
          <w:sz w:val="24"/>
          <w:szCs w:val="24"/>
        </w:rPr>
        <w:t xml:space="preserve">  SAE</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SUSAR报告表</w:t>
      </w:r>
    </w:p>
    <w:p w14:paraId="52AC06F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w:t>
      </w:r>
      <w:r>
        <w:rPr>
          <w:rFonts w:hint="eastAsia" w:cs="Times New Roman"/>
          <w:color w:val="000000"/>
          <w:sz w:val="24"/>
          <w:szCs w:val="24"/>
          <w:lang w:val="en-US" w:eastAsia="zh-CN"/>
        </w:rPr>
        <w:t>09</w:t>
      </w:r>
      <w:r>
        <w:rPr>
          <w:rFonts w:hint="default" w:ascii="Times New Roman" w:hAnsi="Times New Roman" w:cs="Times New Roman"/>
          <w:color w:val="000000"/>
          <w:sz w:val="24"/>
          <w:szCs w:val="24"/>
          <w:lang w:val="en-US" w:eastAsia="zh-CN"/>
        </w:rPr>
        <w:t>/01.0</w:t>
      </w:r>
      <w:r>
        <w:rPr>
          <w:rFonts w:hint="eastAsia" w:ascii="宋体" w:hAnsi="宋体" w:eastAsia="宋体" w:cs="宋体"/>
          <w:color w:val="000000"/>
          <w:sz w:val="24"/>
          <w:szCs w:val="24"/>
        </w:rPr>
        <w:t xml:space="preserve"> 违背或偏离方案报告</w:t>
      </w:r>
    </w:p>
    <w:p w14:paraId="53DB7BA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SS-1</w:t>
      </w:r>
      <w:r>
        <w:rPr>
          <w:rFonts w:hint="eastAsia" w:cs="Times New Roman"/>
          <w:color w:val="000000"/>
          <w:sz w:val="24"/>
          <w:szCs w:val="24"/>
          <w:lang w:val="en-US" w:eastAsia="zh-CN"/>
        </w:rPr>
        <w:t>0</w:t>
      </w:r>
      <w:r>
        <w:rPr>
          <w:rFonts w:hint="default" w:ascii="Times New Roman" w:hAnsi="Times New Roman" w:cs="Times New Roman"/>
          <w:color w:val="000000"/>
          <w:sz w:val="24"/>
          <w:szCs w:val="24"/>
          <w:lang w:val="en-US" w:eastAsia="zh-CN"/>
        </w:rPr>
        <w:t>/01.0</w:t>
      </w:r>
      <w:r>
        <w:rPr>
          <w:rFonts w:hint="eastAsia" w:ascii="宋体" w:hAnsi="宋体" w:eastAsia="宋体" w:cs="宋体"/>
          <w:color w:val="000000"/>
          <w:sz w:val="24"/>
          <w:szCs w:val="24"/>
        </w:rPr>
        <w:t xml:space="preserve"> 终止或暂停研究报告</w:t>
      </w:r>
    </w:p>
    <w:p w14:paraId="382954C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SS-1</w:t>
      </w:r>
      <w:r>
        <w:rPr>
          <w:rFonts w:hint="eastAsia" w:cs="Times New Roman"/>
          <w:color w:val="000000"/>
          <w:sz w:val="24"/>
          <w:szCs w:val="24"/>
          <w:lang w:val="en-US" w:eastAsia="zh-CN"/>
        </w:rPr>
        <w:t>1</w:t>
      </w:r>
      <w:r>
        <w:rPr>
          <w:rFonts w:hint="default" w:ascii="Times New Roman" w:hAnsi="Times New Roman" w:cs="Times New Roman"/>
          <w:color w:val="000000"/>
          <w:sz w:val="24"/>
          <w:szCs w:val="24"/>
          <w:lang w:val="en-US" w:eastAsia="zh-CN"/>
        </w:rPr>
        <w:t>/01.0</w:t>
      </w:r>
      <w:r>
        <w:rPr>
          <w:rFonts w:hint="eastAsia" w:ascii="宋体" w:hAnsi="宋体" w:eastAsia="宋体" w:cs="宋体"/>
          <w:color w:val="000000"/>
          <w:sz w:val="24"/>
          <w:szCs w:val="24"/>
        </w:rPr>
        <w:t xml:space="preserve"> 研究完成报告</w:t>
      </w:r>
    </w:p>
    <w:p w14:paraId="4C68D9C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SS-1</w:t>
      </w:r>
      <w:r>
        <w:rPr>
          <w:rFonts w:hint="eastAsia" w:cs="Times New Roman"/>
          <w:color w:val="000000"/>
          <w:sz w:val="24"/>
          <w:szCs w:val="24"/>
          <w:lang w:val="en-US" w:eastAsia="zh-CN"/>
        </w:rPr>
        <w:t>2</w:t>
      </w:r>
      <w:r>
        <w:rPr>
          <w:rFonts w:hint="default" w:ascii="Times New Roman" w:hAnsi="Times New Roman" w:cs="Times New Roman"/>
          <w:color w:val="000000"/>
          <w:sz w:val="24"/>
          <w:szCs w:val="24"/>
          <w:lang w:val="en-US" w:eastAsia="zh-CN"/>
        </w:rPr>
        <w:t>/01.0</w:t>
      </w:r>
      <w:r>
        <w:rPr>
          <w:rFonts w:hint="eastAsia" w:ascii="宋体" w:hAnsi="宋体" w:eastAsia="宋体" w:cs="宋体"/>
          <w:color w:val="000000"/>
          <w:sz w:val="24"/>
          <w:szCs w:val="24"/>
        </w:rPr>
        <w:t xml:space="preserve"> 伦理审查申请书（复审）</w:t>
      </w:r>
    </w:p>
    <w:p w14:paraId="74DC09A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SS-1</w:t>
      </w:r>
      <w:r>
        <w:rPr>
          <w:rFonts w:hint="eastAsia" w:cs="Times New Roman"/>
          <w:color w:val="000000"/>
          <w:sz w:val="24"/>
          <w:szCs w:val="24"/>
          <w:lang w:val="en-US" w:eastAsia="zh-CN"/>
        </w:rPr>
        <w:t>3</w:t>
      </w:r>
      <w:r>
        <w:rPr>
          <w:rFonts w:hint="default" w:ascii="Times New Roman" w:hAnsi="Times New Roman" w:cs="Times New Roman"/>
          <w:color w:val="000000"/>
          <w:sz w:val="24"/>
          <w:szCs w:val="24"/>
          <w:lang w:val="en-US" w:eastAsia="zh-CN"/>
        </w:rPr>
        <w:t>/01.0</w:t>
      </w:r>
      <w:r>
        <w:rPr>
          <w:rFonts w:hint="eastAsia" w:ascii="宋体" w:hAnsi="宋体" w:eastAsia="宋体" w:cs="宋体"/>
          <w:color w:val="000000"/>
          <w:sz w:val="24"/>
          <w:szCs w:val="24"/>
        </w:rPr>
        <w:t xml:space="preserve"> 暂停研究再启动申请表</w:t>
      </w:r>
    </w:p>
    <w:p w14:paraId="2D439EBA">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SS-1</w:t>
      </w:r>
      <w:r>
        <w:rPr>
          <w:rFonts w:hint="eastAsia" w:cs="Times New Roman"/>
          <w:color w:val="000000"/>
          <w:sz w:val="24"/>
          <w:szCs w:val="24"/>
          <w:lang w:val="en-US" w:eastAsia="zh-CN"/>
        </w:rPr>
        <w:t>4</w:t>
      </w:r>
      <w:r>
        <w:rPr>
          <w:rFonts w:hint="default" w:ascii="Times New Roman" w:hAnsi="Times New Roman" w:cs="Times New Roman"/>
          <w:color w:val="000000"/>
          <w:sz w:val="24"/>
          <w:szCs w:val="24"/>
          <w:lang w:val="en-US" w:eastAsia="zh-CN"/>
        </w:rPr>
        <w:t>/01.0</w:t>
      </w:r>
      <w:r>
        <w:rPr>
          <w:rFonts w:hint="default" w:ascii="Times New Roman" w:hAnsi="Times New Roman" w:eastAsia="宋体" w:cs="Times New Roman"/>
          <w:color w:val="000000"/>
          <w:sz w:val="24"/>
          <w:szCs w:val="24"/>
        </w:rPr>
        <w:t xml:space="preserve"> </w:t>
      </w:r>
      <w:r>
        <w:rPr>
          <w:rFonts w:hint="eastAsia" w:ascii="宋体" w:hAnsi="宋体" w:eastAsia="宋体" w:cs="宋体"/>
          <w:color w:val="000000"/>
          <w:sz w:val="24"/>
          <w:szCs w:val="24"/>
        </w:rPr>
        <w:t>免除伦理审查申请书</w:t>
      </w:r>
    </w:p>
    <w:p w14:paraId="287DD98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SS-1</w:t>
      </w:r>
      <w:r>
        <w:rPr>
          <w:rFonts w:hint="eastAsia" w:cs="Times New Roman"/>
          <w:color w:val="000000"/>
          <w:sz w:val="24"/>
          <w:szCs w:val="24"/>
          <w:lang w:val="en-US" w:eastAsia="zh-CN"/>
        </w:rPr>
        <w:t>5</w:t>
      </w:r>
      <w:r>
        <w:rPr>
          <w:rFonts w:hint="default" w:ascii="Times New Roman" w:hAnsi="Times New Roman" w:cs="Times New Roman"/>
          <w:color w:val="000000"/>
          <w:sz w:val="24"/>
          <w:szCs w:val="24"/>
          <w:lang w:val="en-US" w:eastAsia="zh-CN"/>
        </w:rPr>
        <w:t>/01.0</w:t>
      </w:r>
      <w:r>
        <w:rPr>
          <w:rFonts w:hint="eastAsia" w:ascii="宋体" w:hAnsi="宋体" w:eastAsia="宋体" w:cs="宋体"/>
          <w:color w:val="000000"/>
          <w:sz w:val="24"/>
          <w:szCs w:val="24"/>
          <w:lang w:val="en-US" w:eastAsia="zh-CN"/>
        </w:rPr>
        <w:t>多</w:t>
      </w:r>
      <w:bookmarkStart w:id="0" w:name="_GoBack"/>
      <w:bookmarkEnd w:id="0"/>
      <w:r>
        <w:rPr>
          <w:rFonts w:hint="eastAsia" w:ascii="宋体" w:hAnsi="宋体" w:eastAsia="宋体" w:cs="宋体"/>
          <w:color w:val="000000"/>
          <w:sz w:val="24"/>
          <w:szCs w:val="24"/>
          <w:lang w:val="en-US" w:eastAsia="zh-CN"/>
        </w:rPr>
        <w:t>中心研究伦理审查互认申请表</w:t>
      </w:r>
    </w:p>
    <w:p w14:paraId="32C64AB0">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ZZ-</w:t>
      </w:r>
      <w:r>
        <w:rPr>
          <w:rFonts w:hint="default" w:ascii="Times New Roman" w:hAnsi="Times New Roman" w:cs="Times New Roman"/>
          <w:color w:val="000000"/>
          <w:sz w:val="24"/>
          <w:szCs w:val="24"/>
          <w:lang w:val="en-US" w:eastAsia="zh-CN"/>
        </w:rPr>
        <w:t>0</w:t>
      </w:r>
      <w:r>
        <w:rPr>
          <w:rFonts w:hint="eastAsia" w:cs="Times New Roman"/>
          <w:color w:val="000000"/>
          <w:sz w:val="24"/>
          <w:szCs w:val="24"/>
          <w:lang w:val="en-US" w:eastAsia="zh-CN"/>
        </w:rPr>
        <w:t>3</w:t>
      </w:r>
      <w:r>
        <w:rPr>
          <w:rFonts w:hint="default" w:ascii="Times New Roman" w:hAnsi="Times New Roman" w:cs="Times New Roman"/>
          <w:color w:val="000000"/>
          <w:sz w:val="24"/>
          <w:szCs w:val="24"/>
          <w:lang w:val="en-US" w:eastAsia="zh-CN"/>
        </w:rPr>
        <w:t>/01.0</w:t>
      </w:r>
      <w:r>
        <w:rPr>
          <w:rFonts w:hint="eastAsia" w:ascii="宋体" w:hAnsi="宋体" w:eastAsia="宋体" w:cs="宋体"/>
          <w:color w:val="000000"/>
          <w:sz w:val="24"/>
          <w:szCs w:val="24"/>
        </w:rPr>
        <w:t>研究经济利益冲突声明（</w:t>
      </w:r>
      <w:r>
        <w:rPr>
          <w:rFonts w:hint="eastAsia" w:ascii="宋体" w:hAnsi="宋体" w:cs="宋体"/>
          <w:color w:val="000000"/>
          <w:sz w:val="24"/>
          <w:szCs w:val="24"/>
          <w:lang w:val="en-US" w:eastAsia="zh-CN"/>
        </w:rPr>
        <w:t>研究者，</w:t>
      </w:r>
      <w:r>
        <w:rPr>
          <w:rFonts w:hint="eastAsia" w:ascii="宋体" w:hAnsi="宋体" w:eastAsia="宋体" w:cs="宋体"/>
          <w:color w:val="000000"/>
          <w:sz w:val="24"/>
          <w:szCs w:val="24"/>
        </w:rPr>
        <w:t>研究人员）</w:t>
      </w:r>
    </w:p>
    <w:p w14:paraId="0BC8D0B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2．领取通知</w:t>
      </w:r>
    </w:p>
    <w:p w14:paraId="71A2B7A6">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补充送审材料通知；伦理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委员会办公室形式审查后，如果认为送审材料不完整，文件要素有缺陷，发送</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SL-01</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01.0</w:t>
      </w:r>
      <w:r>
        <w:rPr>
          <w:rFonts w:hint="eastAsia" w:ascii="宋体" w:hAnsi="宋体" w:eastAsia="宋体" w:cs="宋体"/>
          <w:color w:val="000000"/>
          <w:sz w:val="24"/>
          <w:szCs w:val="24"/>
        </w:rPr>
        <w:t>“补充送审材料通知”，通知申请人和联系人，告知缺项文件、缺陷的要素，并告知最近审查会议前的送审截止日期。</w:t>
      </w:r>
    </w:p>
    <w:p w14:paraId="59BB447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受理通知：通过伦理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委员会办公室的形式审查，秘书签署“受理通知”（</w:t>
      </w:r>
      <w:r>
        <w:rPr>
          <w:rFonts w:hint="default" w:ascii="Times New Roman" w:hAnsi="Times New Roman" w:eastAsia="宋体" w:cs="Times New Roman"/>
          <w:color w:val="000000"/>
          <w:sz w:val="24"/>
          <w:szCs w:val="24"/>
        </w:rPr>
        <w:t>AF</w:t>
      </w:r>
      <w:r>
        <w:rPr>
          <w:rFonts w:hint="eastAsia" w:cs="Times New Roman"/>
          <w:color w:val="000000"/>
          <w:sz w:val="24"/>
          <w:szCs w:val="24"/>
          <w:lang w:val="en-US" w:eastAsia="zh-CN"/>
        </w:rPr>
        <w:t>/</w:t>
      </w:r>
      <w:r>
        <w:rPr>
          <w:rFonts w:hint="default" w:ascii="Times New Roman" w:hAnsi="Times New Roman" w:eastAsia="宋体" w:cs="Times New Roman"/>
          <w:color w:val="000000"/>
          <w:sz w:val="24"/>
          <w:szCs w:val="24"/>
        </w:rPr>
        <w:t>SL-02</w:t>
      </w:r>
      <w:r>
        <w:rPr>
          <w:rFonts w:hint="default" w:ascii="Times New Roman" w:hAnsi="Times New Roman" w:cs="Times New Roman"/>
          <w:color w:val="000000"/>
          <w:sz w:val="24"/>
          <w:szCs w:val="24"/>
          <w:lang w:val="en-US" w:eastAsia="zh-CN"/>
        </w:rPr>
        <w:t>/01.0</w:t>
      </w:r>
      <w:r>
        <w:rPr>
          <w:rFonts w:hint="eastAsia" w:ascii="宋体" w:hAnsi="宋体" w:eastAsia="宋体" w:cs="宋体"/>
          <w:color w:val="000000"/>
          <w:sz w:val="24"/>
          <w:szCs w:val="24"/>
        </w:rPr>
        <w:t>）并告知预定的审查日期。</w:t>
      </w:r>
    </w:p>
    <w:p w14:paraId="0C0330E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3．接受审查的准备</w:t>
      </w:r>
    </w:p>
    <w:p w14:paraId="2E5E6A8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会议时间／地点：伦理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委员会秘书电话／微信</w:t>
      </w:r>
      <w:r>
        <w:rPr>
          <w:rFonts w:hint="eastAsia" w:ascii="宋体" w:hAnsi="宋体" w:cs="宋体"/>
          <w:color w:val="000000"/>
          <w:sz w:val="24"/>
          <w:szCs w:val="24"/>
          <w:lang w:val="en-US" w:eastAsia="zh-CN"/>
        </w:rPr>
        <w:t>/京办等办公系统</w:t>
      </w:r>
      <w:r>
        <w:rPr>
          <w:rFonts w:hint="eastAsia" w:ascii="宋体" w:hAnsi="宋体" w:eastAsia="宋体" w:cs="宋体"/>
          <w:color w:val="000000"/>
          <w:sz w:val="24"/>
          <w:szCs w:val="24"/>
        </w:rPr>
        <w:t>通知。</w:t>
      </w:r>
    </w:p>
    <w:p w14:paraId="79F7215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准备向会议的报告和答疑：研究者准备报告的PPT，应要求到会报告和答疑。研究者因故不能到会，应当事先向伦理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委员会办公室请假，并授权研究人员到会报告和答疑。</w:t>
      </w:r>
    </w:p>
    <w:p w14:paraId="084A2FB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七、伦理审查的时间安排</w:t>
      </w:r>
    </w:p>
    <w:p w14:paraId="4E7C152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委员会根据项目审查需要，及时组织召开，受理送审材料至审查会议的最长时限一般不超过</w:t>
      </w:r>
      <w:r>
        <w:rPr>
          <w:rFonts w:hint="eastAsia" w:ascii="宋体" w:hAnsi="宋体" w:cs="宋体"/>
          <w:color w:val="000000"/>
          <w:sz w:val="24"/>
          <w:szCs w:val="24"/>
          <w:lang w:val="en-US" w:eastAsia="zh-CN"/>
        </w:rPr>
        <w:t>30个工作日</w:t>
      </w:r>
      <w:r>
        <w:rPr>
          <w:rFonts w:hint="eastAsia" w:ascii="宋体" w:hAnsi="宋体" w:eastAsia="宋体" w:cs="宋体"/>
          <w:color w:val="000000"/>
          <w:sz w:val="24"/>
          <w:szCs w:val="24"/>
        </w:rPr>
        <w:t>。伦理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委员会办公室受理送审材料后，一般需要1周的时间进行处理，请在例行审查会议前1周提交送审材料。</w:t>
      </w:r>
    </w:p>
    <w:p w14:paraId="78C7218D">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研究过程中出现危及受试者生命安全的重大非预期问题，或发生其他需要伦理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委员会召开会议进行紧急审查和决定的情况，伦理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委员会将召开紧急会议进行审查。在疫情暴发等突发事件紧急情况下，应在</w:t>
      </w:r>
      <w:r>
        <w:rPr>
          <w:rFonts w:hint="eastAsia" w:ascii="宋体" w:hAnsi="宋体" w:cs="宋体"/>
          <w:color w:val="000000"/>
          <w:sz w:val="24"/>
          <w:szCs w:val="24"/>
          <w:lang w:val="en-US" w:eastAsia="zh-CN"/>
        </w:rPr>
        <w:t>24</w:t>
      </w:r>
      <w:r>
        <w:rPr>
          <w:rFonts w:hint="eastAsia" w:ascii="宋体" w:hAnsi="宋体" w:eastAsia="宋体" w:cs="宋体"/>
          <w:color w:val="000000"/>
          <w:sz w:val="24"/>
          <w:szCs w:val="24"/>
        </w:rPr>
        <w:t>小时内开展伦理审查、出</w:t>
      </w:r>
      <w:r>
        <w:rPr>
          <w:rFonts w:hint="eastAsia" w:ascii="宋体" w:hAnsi="宋体" w:cs="宋体"/>
          <w:color w:val="000000"/>
          <w:sz w:val="24"/>
          <w:szCs w:val="24"/>
          <w:lang w:val="en-US" w:eastAsia="zh-CN"/>
        </w:rPr>
        <w:t>具审查意见。</w:t>
      </w:r>
    </w:p>
    <w:p w14:paraId="41CEDE61">
      <w:pPr>
        <w:pageBreakBefore w:val="0"/>
        <w:widowControl w:val="0"/>
        <w:numPr>
          <w:ilvl w:val="0"/>
          <w:numId w:val="0"/>
        </w:numPr>
        <w:kinsoku/>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sectPr>
          <w:footerReference r:id="rId11" w:type="default"/>
          <w:type w:val="continuous"/>
          <w:pgSz w:w="11900" w:h="15980"/>
          <w:pgMar w:top="1417" w:right="1417" w:bottom="1417" w:left="1417" w:header="850" w:footer="850" w:gutter="0"/>
          <w:pgNumType w:fmt="decimal"/>
          <w:cols w:space="720" w:num="1"/>
        </w:sectPr>
      </w:pPr>
    </w:p>
    <w:p w14:paraId="7CD443B4">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八、审查决定的传达</w:t>
      </w:r>
    </w:p>
    <w:p w14:paraId="7C19D4B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委员会在做出审查决定后，</w:t>
      </w:r>
      <w:r>
        <w:rPr>
          <w:rFonts w:hint="eastAsia" w:ascii="宋体" w:hAnsi="宋体" w:cs="宋体"/>
          <w:color w:val="000000"/>
          <w:sz w:val="24"/>
          <w:szCs w:val="24"/>
          <w:lang w:val="en-US" w:eastAsia="zh-CN"/>
        </w:rPr>
        <w:t>在3</w:t>
      </w:r>
      <w:r>
        <w:rPr>
          <w:rFonts w:hint="eastAsia" w:ascii="宋体" w:hAnsi="宋体" w:eastAsia="宋体" w:cs="宋体"/>
          <w:color w:val="000000"/>
          <w:sz w:val="24"/>
          <w:szCs w:val="24"/>
        </w:rPr>
        <w:t>个工作日内，以“伦理审查批件”或“伦理审查意见”的书面方式传达审查决定。</w:t>
      </w:r>
    </w:p>
    <w:p w14:paraId="1DC4790F">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对于伦理前置项目，将在伦理审查批件中备注“申办方取得国家药品监督管理局临床试验批件之后，请及时递交本伦理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委员会备案，方可开展临床试验。</w:t>
      </w:r>
    </w:p>
    <w:p w14:paraId="71EF62A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如果审查意见为肯定性决定（同意继续研究，或者同意研究完成），并且审查类别属于安全性审查及其复审，偏离方案审查及其复审，研究完成审查，或者伦理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委员会同意研究者／申办者提出的终止或者暂停已同意的研究，可以不传达伦理审查意见的书面文件。申请人在伦理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委员会受理送审材料后两个月内没有收到伦理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委员会的审查意见，视作伦理审查意见为“同意”或“不需要采取进一步的措施”。</w:t>
      </w:r>
    </w:p>
    <w:p w14:paraId="1EDA7585">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研究者如果需要可以不传达的伦理审查意见的书面文件，可以要求伦理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委员会办公室提供。</w:t>
      </w:r>
    </w:p>
    <w:p w14:paraId="13BD36D4">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如果对伦理审查决定有不同意见，可以向伦理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委员会提交复审，还可以要求与伦理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委员会委员和办公室进行直接的沟通交流。</w:t>
      </w:r>
    </w:p>
    <w:p w14:paraId="7F20DA5E">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九、伦理审查的费用</w:t>
      </w:r>
    </w:p>
    <w:p w14:paraId="6E911C4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药物／医疗器械临床试验项目的合同，应当包括伦理审查的费用。</w:t>
      </w:r>
    </w:p>
    <w:p w14:paraId="151B0396">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每个</w:t>
      </w:r>
      <w:r>
        <w:rPr>
          <w:rFonts w:hint="eastAsia" w:ascii="宋体" w:hAnsi="宋体" w:cs="宋体"/>
          <w:color w:val="000000"/>
          <w:sz w:val="24"/>
          <w:szCs w:val="24"/>
          <w:lang w:eastAsia="zh-CN"/>
        </w:rPr>
        <w:t>临床试验</w:t>
      </w:r>
      <w:r>
        <w:rPr>
          <w:rFonts w:hint="eastAsia" w:ascii="宋体" w:hAnsi="宋体" w:eastAsia="宋体" w:cs="宋体"/>
          <w:color w:val="000000"/>
          <w:sz w:val="24"/>
          <w:szCs w:val="24"/>
        </w:rPr>
        <w:t>研究项目的伦理审查费用4000元人民币（包括初始审查、跟踪审查、复审）。</w:t>
      </w:r>
    </w:p>
    <w:p w14:paraId="2B6B60B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如因研究方案、知情同意书等项目文件重大修改须重审时，审查费为1000元／次。伦理审查费归医院财务科统一管理。</w:t>
      </w:r>
    </w:p>
    <w:p w14:paraId="3BDCD00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十、联系方式</w:t>
      </w:r>
    </w:p>
    <w:p w14:paraId="1F3549D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伦理</w:t>
      </w:r>
      <w:r>
        <w:rPr>
          <w:rFonts w:hint="eastAsia" w:ascii="宋体" w:hAnsi="宋体" w:cs="宋体"/>
          <w:color w:val="000000"/>
          <w:sz w:val="24"/>
          <w:szCs w:val="24"/>
          <w:lang w:val="en-US" w:eastAsia="zh-CN"/>
        </w:rPr>
        <w:t>审查</w:t>
      </w:r>
      <w:r>
        <w:rPr>
          <w:rFonts w:hint="eastAsia" w:ascii="宋体" w:hAnsi="宋体" w:eastAsia="宋体" w:cs="宋体"/>
          <w:color w:val="000000"/>
          <w:sz w:val="24"/>
          <w:szCs w:val="24"/>
        </w:rPr>
        <w:t>委员会办公室电话：</w:t>
      </w:r>
      <w:r>
        <w:rPr>
          <w:rFonts w:hint="eastAsia" w:ascii="宋体" w:hAnsi="宋体" w:cs="宋体"/>
          <w:color w:val="000000"/>
          <w:sz w:val="24"/>
          <w:szCs w:val="24"/>
          <w:lang w:val="en-US" w:eastAsia="zh-CN"/>
        </w:rPr>
        <w:t>66061122-8103</w:t>
      </w:r>
    </w:p>
    <w:p w14:paraId="6B50C9F3">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rPr>
        <w:t>联系人</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张燕 王青燕</w:t>
      </w:r>
    </w:p>
    <w:p w14:paraId="52560EEC">
      <w:pPr>
        <w:pageBreakBefore w:val="0"/>
        <w:widowControl w:val="0"/>
        <w:numPr>
          <w:ilvl w:val="0"/>
          <w:numId w:val="0"/>
        </w:numPr>
        <w:kinsoku/>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4"/>
          <w:szCs w:val="24"/>
        </w:rPr>
      </w:pPr>
    </w:p>
    <w:p w14:paraId="2D5F7B94">
      <w:pPr>
        <w:pageBreakBefore w:val="0"/>
        <w:widowControl w:val="0"/>
        <w:numPr>
          <w:ilvl w:val="0"/>
          <w:numId w:val="0"/>
        </w:numPr>
        <w:kinsoku/>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修订记录</w:t>
      </w:r>
    </w:p>
    <w:tbl>
      <w:tblPr>
        <w:tblStyle w:val="14"/>
        <w:tblW w:w="8844" w:type="dxa"/>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1465"/>
        <w:gridCol w:w="1483"/>
        <w:gridCol w:w="1465"/>
        <w:gridCol w:w="1465"/>
        <w:gridCol w:w="1483"/>
        <w:gridCol w:w="1483"/>
      </w:tblGrid>
      <w:tr w14:paraId="127E0F2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1465" w:type="dxa"/>
            <w:tcBorders>
              <w:top w:val="single" w:color="000000" w:sz="4" w:space="0"/>
              <w:left w:val="single" w:color="000000" w:sz="4" w:space="0"/>
              <w:bottom w:val="single" w:color="000000" w:sz="4" w:space="0"/>
              <w:right w:val="single" w:color="000000" w:sz="4" w:space="0"/>
            </w:tcBorders>
            <w:vAlign w:val="top"/>
          </w:tcPr>
          <w:p w14:paraId="370B4016">
            <w:pPr>
              <w:pageBreakBefore w:val="0"/>
              <w:widowControl w:val="0"/>
              <w:numPr>
                <w:ilvl w:val="0"/>
                <w:numId w:val="0"/>
              </w:numPr>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修订版次</w:t>
            </w:r>
          </w:p>
        </w:tc>
        <w:tc>
          <w:tcPr>
            <w:tcW w:w="1483" w:type="dxa"/>
            <w:tcBorders>
              <w:top w:val="single" w:color="000000" w:sz="4" w:space="0"/>
              <w:left w:val="single" w:color="000000" w:sz="4" w:space="0"/>
              <w:bottom w:val="single" w:color="000000" w:sz="4" w:space="0"/>
              <w:right w:val="single" w:color="000000" w:sz="4" w:space="0"/>
            </w:tcBorders>
            <w:vAlign w:val="top"/>
          </w:tcPr>
          <w:p w14:paraId="72AA66E0">
            <w:pPr>
              <w:pageBreakBefore w:val="0"/>
              <w:widowControl w:val="0"/>
              <w:numPr>
                <w:ilvl w:val="0"/>
                <w:numId w:val="0"/>
              </w:numPr>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修订内容</w:t>
            </w:r>
          </w:p>
        </w:tc>
        <w:tc>
          <w:tcPr>
            <w:tcW w:w="1465" w:type="dxa"/>
            <w:tcBorders>
              <w:top w:val="single" w:color="000000" w:sz="4" w:space="0"/>
              <w:left w:val="single" w:color="000000" w:sz="4" w:space="0"/>
              <w:bottom w:val="single" w:color="000000" w:sz="4" w:space="0"/>
              <w:right w:val="single" w:color="000000" w:sz="4" w:space="0"/>
            </w:tcBorders>
            <w:vAlign w:val="top"/>
          </w:tcPr>
          <w:p w14:paraId="45F27383">
            <w:pPr>
              <w:pageBreakBefore w:val="0"/>
              <w:widowControl w:val="0"/>
              <w:numPr>
                <w:ilvl w:val="0"/>
                <w:numId w:val="0"/>
              </w:numPr>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修订原因</w:t>
            </w:r>
          </w:p>
        </w:tc>
        <w:tc>
          <w:tcPr>
            <w:tcW w:w="1465" w:type="dxa"/>
            <w:tcBorders>
              <w:top w:val="single" w:color="000000" w:sz="4" w:space="0"/>
              <w:left w:val="single" w:color="000000" w:sz="4" w:space="0"/>
              <w:bottom w:val="single" w:color="000000" w:sz="4" w:space="0"/>
              <w:right w:val="single" w:color="000000" w:sz="4" w:space="0"/>
            </w:tcBorders>
            <w:vAlign w:val="top"/>
          </w:tcPr>
          <w:p w14:paraId="005D179E">
            <w:pPr>
              <w:pageBreakBefore w:val="0"/>
              <w:widowControl w:val="0"/>
              <w:numPr>
                <w:ilvl w:val="0"/>
                <w:numId w:val="0"/>
              </w:numPr>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修订依据</w:t>
            </w:r>
          </w:p>
        </w:tc>
        <w:tc>
          <w:tcPr>
            <w:tcW w:w="1483" w:type="dxa"/>
            <w:tcBorders>
              <w:top w:val="single" w:color="000000" w:sz="4" w:space="0"/>
              <w:left w:val="single" w:color="000000" w:sz="4" w:space="0"/>
              <w:bottom w:val="single" w:color="000000" w:sz="4" w:space="0"/>
              <w:right w:val="single" w:color="000000" w:sz="4" w:space="0"/>
            </w:tcBorders>
            <w:vAlign w:val="top"/>
          </w:tcPr>
          <w:p w14:paraId="39B116AC">
            <w:pPr>
              <w:pageBreakBefore w:val="0"/>
              <w:widowControl w:val="0"/>
              <w:numPr>
                <w:ilvl w:val="0"/>
                <w:numId w:val="0"/>
              </w:numPr>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修订人</w:t>
            </w:r>
          </w:p>
        </w:tc>
        <w:tc>
          <w:tcPr>
            <w:tcW w:w="1483" w:type="dxa"/>
            <w:tcBorders>
              <w:top w:val="single" w:color="000000" w:sz="4" w:space="0"/>
              <w:left w:val="single" w:color="000000" w:sz="4" w:space="0"/>
              <w:bottom w:val="single" w:color="000000" w:sz="4" w:space="0"/>
              <w:right w:val="single" w:color="000000" w:sz="4" w:space="0"/>
            </w:tcBorders>
            <w:vAlign w:val="top"/>
          </w:tcPr>
          <w:p w14:paraId="3B7C1EAB">
            <w:pPr>
              <w:pageBreakBefore w:val="0"/>
              <w:widowControl w:val="0"/>
              <w:numPr>
                <w:ilvl w:val="0"/>
                <w:numId w:val="0"/>
              </w:numPr>
              <w:kinsoku/>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修订日期</w:t>
            </w:r>
          </w:p>
        </w:tc>
      </w:tr>
      <w:tr w14:paraId="69725BB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trPr>
        <w:tc>
          <w:tcPr>
            <w:tcW w:w="1465" w:type="dxa"/>
            <w:tcBorders>
              <w:top w:val="single" w:color="000000" w:sz="4" w:space="0"/>
              <w:left w:val="single" w:color="000000" w:sz="4" w:space="0"/>
              <w:bottom w:val="single" w:color="000000" w:sz="4" w:space="0"/>
              <w:right w:val="single" w:color="000000" w:sz="4" w:space="0"/>
            </w:tcBorders>
            <w:vAlign w:val="center"/>
          </w:tcPr>
          <w:p w14:paraId="1FF82361">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vAlign w:val="center"/>
          </w:tcPr>
          <w:p w14:paraId="52B99B30">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34268D6C">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096280F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vAlign w:val="center"/>
          </w:tcPr>
          <w:p w14:paraId="06309EF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vAlign w:val="center"/>
          </w:tcPr>
          <w:p w14:paraId="12C2871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p>
        </w:tc>
      </w:tr>
      <w:tr w14:paraId="5672990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1465" w:type="dxa"/>
            <w:tcBorders>
              <w:top w:val="single" w:color="000000" w:sz="4" w:space="0"/>
              <w:left w:val="single" w:color="000000" w:sz="4" w:space="0"/>
              <w:bottom w:val="single" w:color="000000" w:sz="4" w:space="0"/>
              <w:right w:val="single" w:color="000000" w:sz="4" w:space="0"/>
            </w:tcBorders>
            <w:vAlign w:val="center"/>
          </w:tcPr>
          <w:p w14:paraId="1313B504">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vAlign w:val="center"/>
          </w:tcPr>
          <w:p w14:paraId="5C5171AB">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1B3AF9A2">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p>
        </w:tc>
        <w:tc>
          <w:tcPr>
            <w:tcW w:w="1465" w:type="dxa"/>
            <w:tcBorders>
              <w:top w:val="single" w:color="000000" w:sz="4" w:space="0"/>
              <w:left w:val="single" w:color="000000" w:sz="4" w:space="0"/>
              <w:bottom w:val="single" w:color="000000" w:sz="4" w:space="0"/>
              <w:right w:val="single" w:color="000000" w:sz="4" w:space="0"/>
            </w:tcBorders>
            <w:vAlign w:val="center"/>
          </w:tcPr>
          <w:p w14:paraId="5337D828">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vAlign w:val="center"/>
          </w:tcPr>
          <w:p w14:paraId="0281DD77">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p>
        </w:tc>
        <w:tc>
          <w:tcPr>
            <w:tcW w:w="1483" w:type="dxa"/>
            <w:tcBorders>
              <w:top w:val="single" w:color="000000" w:sz="4" w:space="0"/>
              <w:left w:val="single" w:color="000000" w:sz="4" w:space="0"/>
              <w:bottom w:val="single" w:color="000000" w:sz="4" w:space="0"/>
              <w:right w:val="single" w:color="000000" w:sz="4" w:space="0"/>
            </w:tcBorders>
            <w:vAlign w:val="center"/>
          </w:tcPr>
          <w:p w14:paraId="59718C89">
            <w:pPr>
              <w:pageBreakBefore w:val="0"/>
              <w:widowControl w:val="0"/>
              <w:numPr>
                <w:ilvl w:val="0"/>
                <w:numId w:val="0"/>
              </w:numPr>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p>
        </w:tc>
      </w:tr>
    </w:tbl>
    <w:p w14:paraId="305A2FA8">
      <w:pPr>
        <w:tabs>
          <w:tab w:val="left" w:pos="341"/>
        </w:tabs>
        <w:bidi w:val="0"/>
        <w:jc w:val="left"/>
        <w:rPr>
          <w:rFonts w:hint="default" w:ascii="宋体" w:hAnsi="宋体" w:cs="宋体"/>
          <w:color w:val="000000"/>
          <w:sz w:val="24"/>
          <w:szCs w:val="24"/>
          <w:lang w:val="en-US" w:eastAsia="zh-CN"/>
        </w:rPr>
      </w:pPr>
    </w:p>
    <w:sectPr>
      <w:headerReference r:id="rId12" w:type="default"/>
      <w:footerReference r:id="rId13" w:type="default"/>
      <w:pgSz w:w="11906" w:h="16838"/>
      <w:pgMar w:top="1417" w:right="1304" w:bottom="1417" w:left="1418" w:header="851" w:footer="850" w:gutter="34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B7FE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BD089">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E3BD089">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C2B90">
    <w:pPr>
      <w:pStyle w:val="11"/>
    </w:pPr>
    <w:r>
      <w:rPr>
        <w:sz w:val="18"/>
      </w:rPr>
      <mc:AlternateContent>
        <mc:Choice Requires="wps">
          <w:drawing>
            <wp:anchor distT="0" distB="0" distL="114300" distR="114300" simplePos="0" relativeHeight="251664384" behindDoc="0" locked="0" layoutInCell="1" allowOverlap="1">
              <wp:simplePos x="0" y="0"/>
              <wp:positionH relativeFrom="margin">
                <wp:posOffset>2460625</wp:posOffset>
              </wp:positionH>
              <wp:positionV relativeFrom="paragraph">
                <wp:posOffset>-69215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DD998">
                          <w:pPr>
                            <w:pStyle w:val="1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3.75pt;margin-top:-5.45pt;height:144pt;width:144pt;mso-position-horizontal-relative:margin;mso-wrap-style:none;z-index:251664384;mso-width-relative:page;mso-height-relative:page;" filled="f" stroked="f" coordsize="21600,21600" o:gfxdata="UEsDBAoAAAAAAIdO4kAAAAAAAAAAAAAAAAAEAAAAZHJzL1BLAwQUAAAACACHTuJAvyb+3NkAAAAL&#10;AQAADwAAAGRycy9kb3ducmV2LnhtbE2Py07DMBBF90j8gzVI7Fo7LW1KiFOJirBEomHB0o2HJOBH&#10;ZLtp+HuGFSxn5ujOueV+toZNGOLgnYRsKYCha70eXCfhrakXO2AxKaeV8Q4lfGOEfXV9VapC+4t7&#10;xemYOkYhLhZKQp/SWHAe2x6tiks/oqPbhw9WJRpDx3VQFwq3hq+E2HKrBkcfejXiocf263i2Eg51&#10;04QJYzDv+FyvP18e7/BplvL2JhMPwBLO6Q+GX31Sh4qcTv7sdGRGwnqXbwiVsMjEPTAitvmGNicJ&#10;qzzPgFcl/9+h+gFQSwMEFAAAAAgAh07iQKmor5Ux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gt0AiQx&#10;TKPil+/fLj9+XX5+JTiDQLULc8TtHCJj89Y2CB7OAw4T76b0On3BiMAPrPNVXtFEwtOl2XQ2G8PF&#10;4Rs2wM8erzsf4jthNUlGTj3q18rKTtsQu9AhJGUzdiOVamuoDKlzevP6zbi9cPUAXBnkSCS6xyYr&#10;NvumZ7a3xRnEvO16Izi+kUi+ZSE+MI9mwIMxLvEeS6ksktjeoqSy/su/zlM8agQvJTWaK6cGs0SJ&#10;em9QOwDGwfCDsR8Mc9R3Ft06wRg63pq44KMazNJb/RkztEo54GKGI1NO42Dexa7BMYNcrFZt0NF5&#10;eai6C+g8x+LW7BxPaZKQwa2OEWK2GieBOlV63dB7bZX6OUnN/ee+jXr8N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8m/tzZAAAACwEAAA8AAAAAAAAAAQAgAAAAIgAAAGRycy9kb3ducmV2Lnht&#10;bFBLAQIUABQAAAAIAIdO4kCpqK+VMQIAAGMEAAAOAAAAAAAAAAEAIAAAACgBAABkcnMvZTJvRG9j&#10;LnhtbFBLBQYAAAAABgAGAFkBAADLBQAAAAA=&#10;">
              <v:fill on="f" focussize="0,0"/>
              <v:stroke on="f" weight="0.5pt"/>
              <v:imagedata o:title=""/>
              <o:lock v:ext="edit" aspectratio="f"/>
              <v:textbox inset="0mm,0mm,0mm,0mm" style="mso-fit-shape-to-text:t;">
                <w:txbxContent>
                  <w:p w14:paraId="79ADD998">
                    <w:pPr>
                      <w:pStyle w:val="1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8</w:t>
                    </w:r>
                    <w:r>
                      <w:t>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133EB">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73133EB">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EB2C">
    <w:pPr>
      <w:spacing w:line="158" w:lineRule="auto"/>
      <w:ind w:firstLine="40"/>
      <w:jc w:val="left"/>
    </w:pPr>
    <w:r>
      <w:rPr>
        <w:sz w:val="25"/>
      </w:rPr>
      <mc:AlternateContent>
        <mc:Choice Requires="wps">
          <w:drawing>
            <wp:anchor distT="0" distB="0" distL="114300" distR="114300" simplePos="0" relativeHeight="251666432" behindDoc="0" locked="0" layoutInCell="1" allowOverlap="1">
              <wp:simplePos x="0" y="0"/>
              <wp:positionH relativeFrom="margin">
                <wp:posOffset>2423795</wp:posOffset>
              </wp:positionH>
              <wp:positionV relativeFrom="paragraph">
                <wp:posOffset>-115570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F5FE8">
                          <w:pPr>
                            <w:pStyle w:val="11"/>
                          </w:pPr>
                          <w:r>
                            <w:t xml:space="preserve">第 </w:t>
                          </w:r>
                          <w:r>
                            <w:fldChar w:fldCharType="begin"/>
                          </w:r>
                          <w:r>
                            <w:instrText xml:space="preserve"> PAGE  \* MERGEFORMAT </w:instrText>
                          </w:r>
                          <w:r>
                            <w:fldChar w:fldCharType="separate"/>
                          </w:r>
                          <w:r>
                            <w:t>5</w:t>
                          </w:r>
                          <w:r>
                            <w:fldChar w:fldCharType="end"/>
                          </w:r>
                          <w:r>
                            <w:t xml:space="preserve"> 页 共</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0.85pt;margin-top:-9.1pt;height:144pt;width:144pt;mso-position-horizontal-relative:margin;mso-wrap-style:none;z-index:251666432;mso-width-relative:page;mso-height-relative:page;" filled="f" stroked="f" coordsize="21600,21600" o:gfxdata="UEsDBAoAAAAAAIdO4kAAAAAAAAAAAAAAAAAEAAAAZHJzL1BLAwQUAAAACACHTuJAa690INkAAAAL&#10;AQAADwAAAGRycy9kb3ducmV2LnhtbE2PTU+DQBCG7yb+h82YeGsXqEFKGZrYiEcTiwePW3YK6H6Q&#10;3S3Ff+960uPMPHnneav9ohWbyfnRGoR0nQAj01k5mh7hvW1WBTAfhJFCWUMI3+RhX9/eVKKU9mre&#10;aD6GnsUQ40uBMIQwlZz7biAt/NpOZOLtbJ0WIY6u59KJawzXimdJknMtRhM/DGKiw0Dd1/GiEQ5N&#10;27qZvFMf9NJsPl+fHuh5Qby/S5MdsEBL+IPhVz+qQx2dTvZipGcKYVOkjxFFWKVFBiwSeb6NmxNC&#10;lm8L4HXF/3eofwBQSwMEFAAAAAgAh07iQCMFE50yAgAAYwQAAA4AAABkcnMvZTJvRG9jLnhtbK1U&#10;zY7TMBC+I/EOlu80aYFV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miE95Q&#10;YphGxU8/vp9+Ppx+fSM4g0CNCzPE3TtExvadbRE8nAccJt5t5XX6ghGBH/IeL/KKNhKeLk0n02kO&#10;F4dv2AA/e7zufIjvhdUkGQX1qF8nKztsQuxDh5CUzdi1VKqroTKkKejV67d5d+HiAbgyyJFI9I9N&#10;Vmy37ZnZ1pZHEPO2743g+Foi+YaFeMc8mgEPxrjEWyyVskhizxYltfVf/3We4lEjeClp0FwFNZgl&#10;StQHg9oBMA6GH4ztYJi9vrHo1jHG0PHOxAUf1WBW3uovmKFlygEXMxyZChoH8yb2DY4Z5GK57IL2&#10;zstd3V9A5zkWN+be8ZQmCRncch8hZqdxEqhX5awbeq+r0nlOUnP/ue+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rr3Qg2QAAAAsBAAAPAAAAAAAAAAEAIAAAACIAAABkcnMvZG93bnJldi54&#10;bWxQSwECFAAUAAAACACHTuJAIwUTnTICAABjBAAADgAAAAAAAAABACAAAAAoAQAAZHJzL2Uyb0Rv&#10;Yy54bWxQSwUGAAAAAAYABgBZAQAAzAUAAAAA&#10;">
              <v:fill on="f" focussize="0,0"/>
              <v:stroke on="f" weight="0.5pt"/>
              <v:imagedata o:title=""/>
              <o:lock v:ext="edit" aspectratio="f"/>
              <v:textbox inset="0mm,0mm,0mm,0mm" style="mso-fit-shape-to-text:t;">
                <w:txbxContent>
                  <w:p w14:paraId="0B3F5FE8">
                    <w:pPr>
                      <w:pStyle w:val="11"/>
                    </w:pPr>
                    <w:r>
                      <w:t xml:space="preserve">第 </w:t>
                    </w:r>
                    <w:r>
                      <w:fldChar w:fldCharType="begin"/>
                    </w:r>
                    <w:r>
                      <w:instrText xml:space="preserve"> PAGE  \* MERGEFORMAT </w:instrText>
                    </w:r>
                    <w:r>
                      <w:fldChar w:fldCharType="separate"/>
                    </w:r>
                    <w:r>
                      <w:t>5</w:t>
                    </w:r>
                    <w:r>
                      <w:fldChar w:fldCharType="end"/>
                    </w:r>
                    <w:r>
                      <w:t xml:space="preserve"> 页 共</w:t>
                    </w:r>
                    <w:r>
                      <w:rPr>
                        <w:rFonts w:hint="eastAsia"/>
                        <w:lang w:val="en-US" w:eastAsia="zh-CN"/>
                      </w:rPr>
                      <w:t>8</w:t>
                    </w:r>
                    <w:r>
                      <w:t xml:space="preserve"> 页</w:t>
                    </w:r>
                  </w:p>
                </w:txbxContent>
              </v:textbox>
            </v:shape>
          </w:pict>
        </mc:Fallback>
      </mc:AlternateContent>
    </w:r>
    <w:r>
      <w:rPr>
        <w:sz w:val="25"/>
      </w:rPr>
      <mc:AlternateContent>
        <mc:Choice Requires="wps">
          <w:drawing>
            <wp:anchor distT="0" distB="0" distL="114300" distR="114300" simplePos="0" relativeHeight="251662336" behindDoc="0" locked="0" layoutInCell="1" allowOverlap="1">
              <wp:simplePos x="0" y="0"/>
              <wp:positionH relativeFrom="margin">
                <wp:posOffset>2459355</wp:posOffset>
              </wp:positionH>
              <wp:positionV relativeFrom="paragraph">
                <wp:posOffset>-71755</wp:posOffset>
              </wp:positionV>
              <wp:extent cx="76200" cy="14160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6200" cy="141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1EB37">
                          <w:pPr>
                            <w:pStyle w:val="11"/>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3.65pt;margin-top:-5.65pt;height:11.15pt;width:6pt;mso-position-horizontal-relative:margin;z-index:251662336;mso-width-relative:page;mso-height-relative:page;" filled="f" stroked="f" coordsize="21600,21600" o:gfxdata="UEsDBAoAAAAAAIdO4kAAAAAAAAAAAAAAAAAEAAAAZHJzL1BLAwQUAAAACACHTuJA6KQjBNcAAAAK&#10;AQAADwAAAGRycy9kb3ducmV2LnhtbE2Py07DMBBF90j8gzVI7FrbRII2xOmCx45nAandObFJIuxx&#10;ZDtp+XuGFezuaI7unKk2R+/YbGMaAiqQSwHMYhvMgJ2C97f7xQpYyhqNdgGtgm+bYFOfnlS6NOGA&#10;r3be5o5RCaZSK+hzHkvOU9tbr9MyjBZp9xmi15nG2HET9YHKveMXQlxyrwekC70e7U1v26/t5BW4&#10;XYoPjcj7+bZ7zC/PfPq4k09KnZ9JcQ0s22P+g+FXn9ShJqcmTGgScwqK1VVBqIKFlBSIKNZrCg2h&#10;UgCvK/7/hfoHUEsDBBQAAAAIAIdO4kD7Txu+OAIAAGIEAAAOAAAAZHJzL2Uyb0RvYy54bWytVMFu&#10;EzEQvSPxD5bvdJOWBhR1U4VGQUgVrVQQZ8frzVqyPcZ2uls+AP6AExfufFe/g+fdbIoKhx64OLMz&#10;4zd+b2Zydt5Zw25ViJpcyadHE86Uk1Rpty35xw/rF685i0m4ShhyquR3KvLzxfNnZ62fq2NqyFQq&#10;MIC4OG99yZuU/LwoomyUFfGIvHII1hSsSPgM26IKogW6NcXxZDIrWgqVDyRVjPCuhiDfI4anAFJd&#10;a6lWJHdWuTSgBmVEAqXYaB/5on9tXSuZruo6qsRMycE09SeKwN7ks1icifk2CN9ouX+CeMoTHnGy&#10;QjsUPUCtRBJsF/RfUFbLQJHqdCTJFgORXhGwmE4eaXPTCK96LpA6+oPo8f/Byve314HpquQnJ5w5&#10;YdHx++/f7n/8uv/5lcEHgVof58i78chM3RvqMDajP8KZeXd1sPkXjBjikPfuIK/qEpNwvpqh/5xJ&#10;RKYvp7PJaQYpHu76ENNbRZZlo+QBzes1FbeXMQ2pY0ou5WitjekbaBxrSz47OZ30Fw4RgBuHGpnB&#10;8NJspW7T7WltqLoDq0DDYEQv1xrFL0VM1yJgEvBe7Eq6wlEbQhHaW5w1FL78y5/z0SBEOWsxWSWP&#10;n3ciKM7MO4fWATKNRhiNzWi4nb0gDOsUW+hlb+JCSGY060D2E1ZomasgJJxErZKn0bxIw3xjBaVa&#10;LvuknQ962wwXMHhepEt342UuM0i53CWqda9ylmjQZa8cRq/v035N8mz/+d1nPfw1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KQjBNcAAAAKAQAADwAAAAAAAAABACAAAAAiAAAAZHJzL2Rvd25y&#10;ZXYueG1sUEsBAhQAFAAAAAgAh07iQPtPG744AgAAYgQAAA4AAAAAAAAAAQAgAAAAJgEAAGRycy9l&#10;Mm9Eb2MueG1sUEsFBgAAAAAGAAYAWQEAANAFAAAAAA==&#10;">
              <v:fill on="f" focussize="0,0"/>
              <v:stroke on="f" weight="0.5pt"/>
              <v:imagedata o:title=""/>
              <o:lock v:ext="edit" aspectratio="f"/>
              <v:textbox inset="0mm,0mm,0mm,0mm">
                <w:txbxContent>
                  <w:p w14:paraId="7DE1EB37">
                    <w:pPr>
                      <w:pStyle w:val="11"/>
                    </w:pPr>
                  </w:p>
                </w:txbxContent>
              </v:textbox>
            </v:shape>
          </w:pict>
        </mc:Fallback>
      </mc:AlternateContent>
    </w:r>
    <w:r>
      <w:rPr>
        <w:rFonts w:hint="eastAsia" w:ascii="宋体" w:hAnsi="宋体" w:eastAsia="宋体"/>
        <w:color w:val="000000"/>
        <w:sz w:val="25"/>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364F0">
    <w:pPr>
      <w:spacing w:line="158" w:lineRule="auto"/>
      <w:ind w:firstLine="40"/>
      <w:jc w:val="left"/>
    </w:pPr>
    <w:r>
      <w:rPr>
        <w:sz w:val="25"/>
      </w:rPr>
      <mc:AlternateContent>
        <mc:Choice Requires="wps">
          <w:drawing>
            <wp:anchor distT="0" distB="0" distL="114300" distR="114300" simplePos="0" relativeHeight="251665408" behindDoc="0" locked="0" layoutInCell="1" allowOverlap="1">
              <wp:simplePos x="0" y="0"/>
              <wp:positionH relativeFrom="margin">
                <wp:posOffset>2395220</wp:posOffset>
              </wp:positionH>
              <wp:positionV relativeFrom="paragraph">
                <wp:posOffset>-144780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79E81">
                          <w:pPr>
                            <w:pStyle w:val="11"/>
                          </w:pPr>
                          <w:r>
                            <w:t xml:space="preserve">第 </w:t>
                          </w:r>
                          <w:r>
                            <w:fldChar w:fldCharType="begin"/>
                          </w:r>
                          <w:r>
                            <w:instrText xml:space="preserve"> PAGE  \* MERGEFORMAT </w:instrText>
                          </w:r>
                          <w:r>
                            <w:fldChar w:fldCharType="separate"/>
                          </w:r>
                          <w:r>
                            <w:t>4</w:t>
                          </w:r>
                          <w:r>
                            <w:fldChar w:fldCharType="end"/>
                          </w:r>
                          <w:r>
                            <w:t xml:space="preserve"> 页 共</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8.6pt;margin-top:-11.4pt;height:144pt;width:144pt;mso-position-horizontal-relative:margin;mso-wrap-style:none;z-index:251665408;mso-width-relative:page;mso-height-relative:page;" filled="f" stroked="f" coordsize="21600,21600" o:gfxdata="UEsDBAoAAAAAAIdO4kAAAAAAAAAAAAAAAAAEAAAAZHJzL1BLAwQUAAAACACHTuJAM5E4o9gAAAAL&#10;AQAADwAAAGRycy9kb3ducmV2LnhtbE2PzU7DMBCE70i8g7VI3FqnLqQojVOJinBEouHA0Y23ScA/&#10;ke2m4e3ZnuC2uzOa/abczdawCUMcvJOwWmbA0LVeD66T8NHUiydgMSmnlfEOJfxghF11e1OqQvuL&#10;e8fpkDpGIS4WSkKf0lhwHtserYpLP6Ij7eSDVYnW0HEd1IXCreEiy3Ju1eDoQ69G3PfYfh/OVsK+&#10;bpowYQzmE1/r9dfb8wO+zFLe362yLbCEc/ozwxWf0KEipqM/Ox2ZkbDebARZJSyEoA7kyPNHuhwl&#10;iOvAq5L/71D9AlBLAwQUAAAACACHTuJALlZmfjI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AKdcEWJ&#10;YRoVP//4fv75+/zrG8EZBKpdmCPuwSEyNu9sg+DhPOAw8W5Kr9MXjAj8kPd0kVc0kfB0aTadzcZw&#10;cfiGDfCzp+vOh/heWE2SkVOP+rWysuM2xC50CEnZjN1IpdoaKkPqnF5fvR23Fy4egCuDHIlE99hk&#10;xWbX9Mx2tjiBmLddbwTHNxLJtyzEe+bRDHgwxiXeYSmVRRLbW5RU1n/913mKR43gpaRGc+XUYJYo&#10;UR8MagfAOBh+MHaDYQ761qJbJxhDx1sTF3xUg1l6q79ghlYpB1zMcGTKaRzM29g1OGaQi9WqDTo4&#10;L/dVdwGd51jcmgfHU5okZHCrQ4SYrcZJoE6VXjf0Xlulfk5Sc/+5b6Oe/g3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OROKPYAAAACwEAAA8AAAAAAAAAAQAgAAAAIgAAAGRycy9kb3ducmV2Lnht&#10;bFBLAQIUABQAAAAIAIdO4kAuVmZ+MgIAAGMEAAAOAAAAAAAAAAEAIAAAACcBAABkcnMvZTJvRG9j&#10;LnhtbFBLBQYAAAAABgAGAFkBAADLBQAAAAA=&#10;">
              <v:fill on="f" focussize="0,0"/>
              <v:stroke on="f" weight="0.5pt"/>
              <v:imagedata o:title=""/>
              <o:lock v:ext="edit" aspectratio="f"/>
              <v:textbox inset="0mm,0mm,0mm,0mm" style="mso-fit-shape-to-text:t;">
                <w:txbxContent>
                  <w:p w14:paraId="61179E81">
                    <w:pPr>
                      <w:pStyle w:val="11"/>
                    </w:pPr>
                    <w:r>
                      <w:t xml:space="preserve">第 </w:t>
                    </w:r>
                    <w:r>
                      <w:fldChar w:fldCharType="begin"/>
                    </w:r>
                    <w:r>
                      <w:instrText xml:space="preserve"> PAGE  \* MERGEFORMAT </w:instrText>
                    </w:r>
                    <w:r>
                      <w:fldChar w:fldCharType="separate"/>
                    </w:r>
                    <w:r>
                      <w:t>4</w:t>
                    </w:r>
                    <w:r>
                      <w:fldChar w:fldCharType="end"/>
                    </w:r>
                    <w:r>
                      <w:t xml:space="preserve"> 页 共</w:t>
                    </w:r>
                    <w:r>
                      <w:rPr>
                        <w:rFonts w:hint="eastAsia"/>
                        <w:lang w:val="en-US" w:eastAsia="zh-CN"/>
                      </w:rPr>
                      <w:t>8</w:t>
                    </w:r>
                    <w:r>
                      <w:t xml:space="preserve"> 页</w:t>
                    </w:r>
                  </w:p>
                </w:txbxContent>
              </v:textbox>
            </v:shape>
          </w:pict>
        </mc:Fallback>
      </mc:AlternateContent>
    </w:r>
    <w:r>
      <w:rPr>
        <w:sz w:val="25"/>
      </w:rPr>
      <mc:AlternateContent>
        <mc:Choice Requires="wps">
          <w:drawing>
            <wp:anchor distT="0" distB="0" distL="114300" distR="114300" simplePos="0" relativeHeight="251660288" behindDoc="0" locked="0" layoutInCell="1" allowOverlap="1">
              <wp:simplePos x="0" y="0"/>
              <wp:positionH relativeFrom="margin">
                <wp:posOffset>2459355</wp:posOffset>
              </wp:positionH>
              <wp:positionV relativeFrom="paragraph">
                <wp:posOffset>-158750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BE1F0">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3.65pt;margin-top:-12.5pt;height:144pt;width:144pt;mso-position-horizontal-relative:margin;mso-wrap-style:none;z-index:251660288;mso-width-relative:page;mso-height-relative:page;" filled="f" stroked="f" coordsize="21600,21600" o:gfxdata="UEsDBAoAAAAAAIdO4kAAAAAAAAAAAAAAAAAEAAAAZHJzL1BLAwQUAAAACACHTuJAdjmmXdkAAAAL&#10;AQAADwAAAGRycy9kb3ducmV2LnhtbE2PwU7DMAyG70i8Q2QkbluylnVT13QSE+WIxMqBY9Z4baFJ&#10;qiTryttjTuxo+9Pv7y/2sxnYhD70zkpYLQUwtI3TvW0lfNTVYgssRGW1GpxFCT8YYF/e3xUq1+5q&#10;33E6xpZRiA25ktDFOOach6ZDo8LSjWjpdnbeqEijb7n26krhZuCJEBk3qrf0oVMjHjpsvo8XI+FQ&#10;1bWfMPjhE1+r9Ovt+QlfZikfH1ZiByziHP9h+NMndSjJ6eQuVgc2SEi3m5RQCYtkTaWIyDZr2pwk&#10;JFkqgJcFv+1Q/gJQSwMEFAAAAAgAh07iQAWW+3ozAgAAYwQAAA4AAABkcnMvZTJvRG9jLnhtbK1U&#10;S44TMRDdI3EHy3vSSUaMoiidUZgoCCliRhoQa8ftTlvyT7aT7nAAuAErNuw5V84xz/3JoIHFLNi4&#10;y67yK79XVb24abQiR+GDtCank9GYEmG4LaTZ5/Tzp82bGSUhMlMwZY3I6UkEerN8/WpRu7mY2sqq&#10;QngCEBPmtctpFaObZ1ngldAsjKwTBs7Ses0itn6fFZ7VQNcqm47H11ltfeG85SIEnK47J+0R/UsA&#10;bVlKLtaWH7QwsUP1QrEISqGSLtBl+9qyFDzelWUQkaicgmlsVySBvUtrtlyw+d4zV0neP4G95AnP&#10;OGkmDZJeoNYsMnLw8i8oLbm3wZZxxK3OOiKtImAxGT/T5qFiTrRcIHVwF9HD/4PlH4/3nsgip1dT&#10;SgzTqPj5x/fzz9/nX98IziBQ7cIccQ8OkbF5Zxu0zXAecJh4N6XX6QtGBH7Ie7rIK5pIeLo0m85m&#10;Y7g4fMMG+NnTdedDfC+sJsnIqUf9WlnZcRtiFzqEpGzGbqRSbQ2VIXVOr6/ejtsLFw/AlUGORKJ7&#10;bLJis2t6ZjtbnEDM2643guMbieRbFuI982gGPBjjEu+wlMoiie0tSirrv/7rPMWjRvBSUqO5cmow&#10;S5SoDwa1A2AcDD8Yu8EwB31r0a0TjKHjrYkLPqrBLL3VXzBDq5QDLmY4MuU0DuZt7BocM8jFatUG&#10;HZyX+6q7gM5zLG7Ng+MpTRIyuNUhQsxW4yRQp0qvG3qvrVI/J6m5/9y3UU//hu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jmmXdkAAAALAQAADwAAAAAAAAABACAAAAAiAAAAZHJzL2Rvd25yZXYu&#10;eG1sUEsBAhQAFAAAAAgAh07iQAWW+3ozAgAAYwQAAA4AAAAAAAAAAQAgAAAAKAEAAGRycy9lMm9E&#10;b2MueG1sUEsFBgAAAAAGAAYAWQEAAM0FAAAAAA==&#10;">
              <v:fill on="f" focussize="0,0"/>
              <v:stroke on="f" weight="0.5pt"/>
              <v:imagedata o:title=""/>
              <o:lock v:ext="edit" aspectratio="f"/>
              <v:textbox inset="0mm,0mm,0mm,0mm" style="mso-fit-shape-to-text:t;">
                <w:txbxContent>
                  <w:p w14:paraId="0DFBE1F0">
                    <w:pPr>
                      <w:pStyle w:val="11"/>
                    </w:pPr>
                  </w:p>
                </w:txbxContent>
              </v:textbox>
            </v:shape>
          </w:pict>
        </mc:Fallback>
      </mc:AlternateContent>
    </w:r>
    <w:r>
      <w:rPr>
        <w:rFonts w:hint="eastAsia" w:ascii="宋体" w:hAnsi="宋体" w:eastAsia="宋体"/>
        <w:color w:val="000000"/>
        <w:sz w:val="25"/>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BA40">
    <w:pPr>
      <w:spacing w:line="196" w:lineRule="auto"/>
      <w:ind w:firstLine="20"/>
      <w:jc w:val="left"/>
    </w:pPr>
    <w:r>
      <w:rPr>
        <w:sz w:val="26"/>
      </w:rPr>
      <mc:AlternateContent>
        <mc:Choice Requires="wps">
          <w:drawing>
            <wp:anchor distT="0" distB="0" distL="114300" distR="114300" simplePos="0" relativeHeight="251667456" behindDoc="0" locked="0" layoutInCell="1" allowOverlap="1">
              <wp:simplePos x="0" y="0"/>
              <wp:positionH relativeFrom="margin">
                <wp:posOffset>2347595</wp:posOffset>
              </wp:positionH>
              <wp:positionV relativeFrom="paragraph">
                <wp:posOffset>-109855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D83A7">
                          <w:pPr>
                            <w:pStyle w:val="11"/>
                          </w:pPr>
                          <w:r>
                            <w:t xml:space="preserve">第 </w:t>
                          </w:r>
                          <w:r>
                            <w:fldChar w:fldCharType="begin"/>
                          </w:r>
                          <w:r>
                            <w:instrText xml:space="preserve"> PAGE  \* MERGEFORMAT </w:instrText>
                          </w:r>
                          <w:r>
                            <w:fldChar w:fldCharType="separate"/>
                          </w:r>
                          <w:r>
                            <w:t>9</w:t>
                          </w:r>
                          <w:r>
                            <w:fldChar w:fldCharType="end"/>
                          </w:r>
                          <w:r>
                            <w:t xml:space="preserve"> 页 共 </w:t>
                          </w:r>
                          <w:r>
                            <w:rPr>
                              <w:rFonts w:hint="eastAsia"/>
                              <w:lang w:val="en-US" w:eastAsia="zh-CN"/>
                            </w:rPr>
                            <w:t>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4.85pt;margin-top:-8.65pt;height:144pt;width:144pt;mso-position-horizontal-relative:margin;mso-wrap-style:none;z-index:251667456;mso-width-relative:page;mso-height-relative:page;" filled="f" stroked="f" coordsize="21600,21600" o:gfxdata="UEsDBAoAAAAAAIdO4kAAAAAAAAAAAAAAAAAEAAAAZHJzL1BLAwQUAAAACACHTuJAiiooGNkAAAAL&#10;AQAADwAAAGRycy9kb3ducmV2LnhtbE2Py07DMBBF90j8gzVI7Fo7DcQQ4lSiIl0i0bBg6cZDEvAj&#10;st00/D3uCpYzc3Tn3Gq7GE1m9GF0VkC2ZkDQdk6Nthfw3jarByAhSqukdhYF/GCAbX19VclSubN9&#10;w/kQe5JCbCilgCHGqaQ0dAMaGdZuQptun84bGdPoe6q8PKdwo+mGsYIaOdr0YZAT7gbsvg8nI2DX&#10;tK2fMXj9gfsm/3p9vsOXRYjbm4w9AYm4xD8YLvpJHerkdHQnqwLRAvLikSdUwCrjOZBEFPc8bY4C&#10;NpxxoHVF/3eofwFQSwMEFAAAAAgAh07iQOZTTZkyAgAAYwQAAA4AAABkcnMvZTJvRG9jLnhtbK1U&#10;S44TMRDdI3EHy3vSSRBRFKUzChMFIUXMSANi7bjdaUv+yXbSHQ4AN2DFhj3nyjl47k8GDSxmwcZd&#10;dpVf+b2q6uVNoxU5CR+kNTmdjMaUCMNtIc0hp58+bl/NKQmRmYIpa0ROzyLQm9XLF8vaLcTUVlYV&#10;whOAmLCoXU6rGN0iywKvhGZhZJ0wcJbWaxax9Yes8KwGulbZdDyeZbX1hfOWixBwuumctEf0zwG0&#10;ZSm52Fh+1MLEDtULxSIohUq6QFfta8tS8HhXlkFEonIKprFdkQT2Pq3ZaskWB89cJXn/BPacJzzh&#10;pJk0SHqF2rDIyNHLv6C05N4GW8YRtzrriLSKgMVk/ESbh4o50XKB1MFdRQ//D5Z/ON17Igt0wowS&#10;wzQqfvn+7fLj1+XnV4IzCFS7sEDcg0NkbN7aBsHDecBh4t2UXqcvGBH4Ie/5Kq9oIuHp0nw6n4/h&#10;4vANG+Bnj9edD/GdsJokI6ce9WtlZaddiF3oEJKyGbuVSrU1VIbUOZ29fjNuL1w9AFcGORKJ7rHJ&#10;is2+6ZntbXEGMW+73giObyWS71iI98yjGfBgjEu8w1IqiyS2tyiprP/yr/MUjxrBS0mN5sqpwSxR&#10;ot4b1A6AcTD8YOwHwxz1rUW3TjCGjrcmLvioBrP0Vn/GDK1TDriY4ciU0ziYt7FrcMwgF+t1G3R0&#10;Xh6q7gI6z7G4Mw+OpzRJyODWxwgxW42TQJ0qvW7ovbZK/Zyk5v5z30Y9/ht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KKigY2QAAAAsBAAAPAAAAAAAAAAEAIAAAACIAAABkcnMvZG93bnJldi54&#10;bWxQSwECFAAUAAAACACHTuJA5lNNmTICAABjBAAADgAAAAAAAAABACAAAAAoAQAAZHJzL2Uyb0Rv&#10;Yy54bWxQSwUGAAAAAAYABgBZAQAAzAUAAAAA&#10;">
              <v:fill on="f" focussize="0,0"/>
              <v:stroke on="f" weight="0.5pt"/>
              <v:imagedata o:title=""/>
              <o:lock v:ext="edit" aspectratio="f"/>
              <v:textbox inset="0mm,0mm,0mm,0mm" style="mso-fit-shape-to-text:t;">
                <w:txbxContent>
                  <w:p w14:paraId="122D83A7">
                    <w:pPr>
                      <w:pStyle w:val="11"/>
                    </w:pPr>
                    <w:r>
                      <w:t xml:space="preserve">第 </w:t>
                    </w:r>
                    <w:r>
                      <w:fldChar w:fldCharType="begin"/>
                    </w:r>
                    <w:r>
                      <w:instrText xml:space="preserve"> PAGE  \* MERGEFORMAT </w:instrText>
                    </w:r>
                    <w:r>
                      <w:fldChar w:fldCharType="separate"/>
                    </w:r>
                    <w:r>
                      <w:t>9</w:t>
                    </w:r>
                    <w:r>
                      <w:fldChar w:fldCharType="end"/>
                    </w:r>
                    <w:r>
                      <w:t xml:space="preserve"> 页 共 </w:t>
                    </w:r>
                    <w:r>
                      <w:rPr>
                        <w:rFonts w:hint="eastAsia"/>
                        <w:lang w:val="en-US" w:eastAsia="zh-CN"/>
                      </w:rPr>
                      <w:t>8</w:t>
                    </w:r>
                    <w:r>
                      <w:t>页</w:t>
                    </w:r>
                  </w:p>
                </w:txbxContent>
              </v:textbox>
            </v:shape>
          </w:pict>
        </mc:Fallback>
      </mc:AlternateContent>
    </w:r>
    <w:r>
      <w:rPr>
        <w:sz w:val="26"/>
      </w:rPr>
      <mc:AlternateContent>
        <mc:Choice Requires="wps">
          <w:drawing>
            <wp:anchor distT="0" distB="0" distL="114300" distR="114300" simplePos="0" relativeHeight="251663360" behindDoc="0" locked="0" layoutInCell="1" allowOverlap="1">
              <wp:simplePos x="0" y="0"/>
              <wp:positionH relativeFrom="margin">
                <wp:posOffset>2385695</wp:posOffset>
              </wp:positionH>
              <wp:positionV relativeFrom="paragraph">
                <wp:posOffset>-120650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013B6">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7.85pt;margin-top:-9.5pt;height:144pt;width:144pt;mso-position-horizontal-relative:margin;mso-wrap-style:none;z-index:251663360;mso-width-relative:page;mso-height-relative:page;" filled="f" stroked="f" coordsize="21600,21600" o:gfxdata="UEsDBAoAAAAAAIdO4kAAAAAAAAAAAAAAAAAEAAAAZHJzL1BLAwQUAAAACACHTuJA+d1h7tcAAAAL&#10;AQAADwAAAGRycy9kb3ducmV2LnhtbE2PPU/DMBCGdyT+g3VIbK2TBlIIcSpREUYkGgZGNz6SQHyO&#10;bDcN/55jgvHee/R+lLvFjmJGHwZHCtJ1AgKpdWagTsFbU6/uQISoyejRESr4xgC76vKi1IVxZ3rF&#10;+RA7wSYUCq2gj3EqpAxtj1aHtZuQ+PfhvNWRT99J4/WZze0oN0mSS6sH4oReT7jvsf06nKyCfd00&#10;fsbgx3d8rrPPl8cbfFqUur5KkwcQEZf4B8Nvfa4OFXc6uhOZIEYF2fZ2y6iCVXrPo5jI84yVo4JN&#10;zoqsSvl/Q/UDUEsDBBQAAAAIAIdO4kCPO0dyMwIAAGMEAAAOAAAAZHJzL2Uyb0RvYy54bWytVM2O&#10;0zAQviPxDpbvNGlXVFXVdFW2KkKq2JUK4uw6ThPJf7LdJuUB4A04ceHOc/U59nN+umjhsAcuztgz&#10;/sbfNzNZ3DZKkpNwvjI6o+NRSonQ3OSVPmT086fNmxklPjCdM2m0yOhZeHq7fP1qUdu5mJjSyFw4&#10;AhDt57XNaBmCnSeJ56VQzI+MFRrOwjjFArbukOSO1UBXMpmk6TSpjcutM1x4j9N156Q9onsJoCmK&#10;iou14UcldOhQnZAsgJIvK+vpsn1tUQge7ovCi0BkRsE0tCuSwN7HNVku2PzgmC0r3j+BveQJzzgp&#10;VmkkvUKtWWDk6Kq/oFTFnfGmCCNuVNIRaRUBi3H6TJtdyaxouUBqb6+i+/8Hyz+eHhyp8ozeTCnR&#10;TKHilx/fLz9/X359IziDQLX1c8TtLCJD8840aJvh3OMw8m4Kp+IXjAj8kPd8lVc0gfB4aTaZzVK4&#10;OHzDBvjJ03XrfHgvjCLRyKhD/VpZ2WnrQxc6hMRs2mwqKdsaSk3qjE5v3qbthasH4FIjRyTRPTZa&#10;odk3PbO9yc8g5kzXG97yTYXkW+bDA3NoBjwY4xLusRTSIInpLUpK477+6zzGo0bwUlKjuTKqMUuU&#10;yA8atQNgGAw3GPvB0Ed1Z9CtY4yh5a2JCy7IwSycUV8wQ6uYAy6mOTJlNAzmXegaHDPIxWrVBh2t&#10;qw5ldwGdZ1nY6p3lMU0U0tvVMUDMVuMoUKdKrxt6r61SPyexuf/ct1FP/4bl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ndYe7XAAAACwEAAA8AAAAAAAAAAQAgAAAAIgAAAGRycy9kb3ducmV2Lnht&#10;bFBLAQIUABQAAAAIAIdO4kCPO0dyMwIAAGMEAAAOAAAAAAAAAAEAIAAAACYBAABkcnMvZTJvRG9j&#10;LnhtbFBLBQYAAAAABgAGAFkBAADLBQAAAAA=&#10;">
              <v:fill on="f" focussize="0,0"/>
              <v:stroke on="f" weight="0.5pt"/>
              <v:imagedata o:title=""/>
              <o:lock v:ext="edit" aspectratio="f"/>
              <v:textbox inset="0mm,0mm,0mm,0mm" style="mso-fit-shape-to-text:t;">
                <w:txbxContent>
                  <w:p w14:paraId="7FE013B6">
                    <w:pPr>
                      <w:pStyle w:val="11"/>
                    </w:pPr>
                  </w:p>
                </w:txbxContent>
              </v:textbox>
            </v:shape>
          </w:pict>
        </mc:Fallback>
      </mc:AlternateContent>
    </w:r>
    <w:r>
      <w:rPr>
        <w:rFonts w:hint="eastAsia" w:ascii="宋体" w:hAnsi="宋体" w:eastAsia="宋体"/>
        <w:color w:val="000000"/>
        <w:sz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918E6">
    <w:pPr>
      <w:pStyle w:val="12"/>
      <w:pBdr>
        <w:bottom w:val="single" w:color="auto" w:sz="4" w:space="0"/>
      </w:pBdr>
      <w:spacing w:line="240" w:lineRule="auto"/>
      <w:jc w:val="left"/>
    </w:pPr>
    <w:r>
      <w:rPr>
        <w:rFonts w:hint="eastAsia"/>
        <w:lang w:val="en-US" w:eastAsia="zh-CN"/>
      </w:rPr>
      <w:t>北京市第二医院伦理审查委员会</w:t>
    </w:r>
    <w:r>
      <w:rPr>
        <w:rFonts w:hint="eastAsia" w:ascii="Calibri" w:hAnsi="Calibri" w:eastAsia="Calibri"/>
        <w:color w:val="000000"/>
        <w:sz w:val="18"/>
      </w:rPr>
      <w:t xml:space="preserve">      </w:t>
    </w:r>
    <w:r>
      <w:rPr>
        <w:rFonts w:hint="eastAsia" w:ascii="Calibri" w:hAnsi="Calibri"/>
        <w:color w:val="000000"/>
        <w:sz w:val="18"/>
        <w:lang w:val="en-US" w:eastAsia="zh-CN"/>
      </w:rPr>
      <w:t xml:space="preserve">      </w:t>
    </w:r>
    <w:r>
      <w:rPr>
        <w:rFonts w:hint="eastAsia"/>
        <w:lang w:val="en-US" w:eastAsia="zh-CN"/>
      </w:rPr>
      <w:t xml:space="preserve">伦理审查送审指南 </w:t>
    </w:r>
    <w:r>
      <w:rPr>
        <w:rFonts w:hint="eastAsia" w:ascii="Calibri" w:hAnsi="Calibri"/>
        <w:color w:val="000000"/>
        <w:sz w:val="18"/>
        <w:lang w:val="en-US" w:eastAsia="zh-CN"/>
      </w:rPr>
      <w:t xml:space="preserve"> </w:t>
    </w:r>
    <w:r>
      <w:rPr>
        <w:rFonts w:hint="eastAsia" w:ascii="Calibri" w:hAnsi="Calibri" w:eastAsia="Calibri"/>
        <w:color w:val="000000"/>
        <w:sz w:val="19"/>
      </w:rPr>
      <w:t xml:space="preserve">       </w:t>
    </w:r>
    <w:r>
      <w:rPr>
        <w:rFonts w:hint="eastAsia" w:ascii="Calibri" w:hAnsi="Calibri"/>
        <w:color w:val="000000"/>
        <w:sz w:val="19"/>
        <w:lang w:val="en-US" w:eastAsia="zh-CN"/>
      </w:rPr>
      <w:t xml:space="preserve">              </w:t>
    </w:r>
    <w:r>
      <w:rPr>
        <w:rFonts w:hint="eastAsia"/>
        <w:lang w:val="en-US" w:eastAsia="zh-CN"/>
      </w:rPr>
      <w:t>IRB ZN/01.01/01.0</w:t>
    </w:r>
    <w:r>
      <w:rPr>
        <w:rFonts w:hint="eastAsia" w:ascii="Calibri" w:hAnsi="Calibri"/>
        <w:color w:val="000000"/>
        <w:sz w:val="19"/>
        <w:lang w:val="en-US" w:eastAsia="zh-CN"/>
      </w:rPr>
      <w:t xml:space="preserve">    </w:t>
    </w:r>
    <w:r>
      <w:rPr>
        <w:rFonts w:hint="eastAsia" w:ascii="Calibri" w:hAnsi="Calibri" w:eastAsia="Calibri"/>
        <w:color w:val="000000"/>
        <w:sz w:val="19"/>
      </w:rPr>
      <w:t xml:space="preserve">                     </w:t>
    </w:r>
    <w:r>
      <w:rPr>
        <w:rFonts w:hint="eastAsia" w:ascii="Calibri" w:hAnsi="Calibri"/>
        <w:color w:val="000000"/>
        <w:sz w:val="19"/>
        <w:lang w:val="en-US" w:eastAsia="zh-CN"/>
      </w:rPr>
      <w:t xml:space="preserve">         </w:t>
    </w:r>
    <w:r>
      <w:rPr>
        <w:rFonts w:hint="eastAsia" w:ascii="Calibri" w:hAnsi="Calibri"/>
        <w:color w:val="000000"/>
        <w:sz w:val="18"/>
        <w:szCs w:val="18"/>
        <w:lang w:val="en-US" w:eastAsia="zh-CN"/>
      </w:rPr>
      <w:t xml:space="preserve">          </w:t>
    </w:r>
    <w:r>
      <w:rPr>
        <w:rFonts w:hint="eastAsia" w:ascii="Calibri" w:hAnsi="Calibri"/>
        <w:color w:val="000000"/>
        <w:sz w:val="19"/>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28E0A">
    <w:pPr>
      <w:pStyle w:val="12"/>
      <w:pBdr>
        <w:bottom w:val="single" w:color="auto" w:sz="4" w:space="0"/>
      </w:pBdr>
      <w:spacing w:line="240" w:lineRule="auto"/>
      <w:jc w:val="left"/>
    </w:pPr>
    <w:r>
      <w:rPr>
        <w:rFonts w:hint="eastAsia"/>
        <w:lang w:val="en-US" w:eastAsia="zh-CN"/>
      </w:rPr>
      <w:t>北京市第二医院伦理审查委员会</w:t>
    </w:r>
    <w:r>
      <w:rPr>
        <w:rFonts w:hint="eastAsia" w:ascii="Calibri" w:hAnsi="Calibri" w:eastAsia="Calibri"/>
        <w:color w:val="000000"/>
        <w:sz w:val="18"/>
      </w:rPr>
      <w:t xml:space="preserve">      </w:t>
    </w:r>
    <w:r>
      <w:rPr>
        <w:rFonts w:hint="eastAsia" w:ascii="Calibri" w:hAnsi="Calibri"/>
        <w:color w:val="000000"/>
        <w:sz w:val="18"/>
        <w:lang w:val="en-US" w:eastAsia="zh-CN"/>
      </w:rPr>
      <w:t xml:space="preserve">      </w:t>
    </w:r>
    <w:r>
      <w:rPr>
        <w:rFonts w:hint="eastAsia"/>
        <w:lang w:val="en-US" w:eastAsia="zh-CN"/>
      </w:rPr>
      <w:t xml:space="preserve">伦理审查送审指南 </w:t>
    </w:r>
    <w:r>
      <w:rPr>
        <w:rFonts w:hint="eastAsia" w:ascii="Calibri" w:hAnsi="Calibri"/>
        <w:color w:val="000000"/>
        <w:sz w:val="18"/>
        <w:lang w:val="en-US" w:eastAsia="zh-CN"/>
      </w:rPr>
      <w:t xml:space="preserve"> </w:t>
    </w:r>
    <w:r>
      <w:rPr>
        <w:rFonts w:hint="eastAsia" w:ascii="Calibri" w:hAnsi="Calibri" w:eastAsia="Calibri"/>
        <w:color w:val="000000"/>
        <w:sz w:val="19"/>
      </w:rPr>
      <w:t xml:space="preserve">       </w:t>
    </w:r>
    <w:r>
      <w:rPr>
        <w:rFonts w:hint="eastAsia" w:ascii="Calibri" w:hAnsi="Calibri"/>
        <w:color w:val="000000"/>
        <w:sz w:val="19"/>
        <w:lang w:val="en-US" w:eastAsia="zh-CN"/>
      </w:rPr>
      <w:t xml:space="preserve">                  </w:t>
    </w:r>
    <w:r>
      <w:rPr>
        <w:rFonts w:hint="eastAsia"/>
        <w:lang w:val="en-US" w:eastAsia="zh-CN"/>
      </w:rPr>
      <w:t>IRB ZN/01.01/01.0</w:t>
    </w:r>
    <w:r>
      <w:rPr>
        <w:rFonts w:hint="eastAsia" w:ascii="Calibri" w:hAnsi="Calibri"/>
        <w:color w:val="000000"/>
        <w:sz w:val="19"/>
        <w:lang w:val="en-US" w:eastAsia="zh-CN"/>
      </w:rPr>
      <w:t xml:space="preserve">     </w:t>
    </w:r>
    <w:r>
      <w:rPr>
        <w:rFonts w:hint="eastAsia" w:ascii="Calibri" w:hAnsi="Calibri" w:eastAsia="Calibri"/>
        <w:color w:val="000000"/>
        <w:sz w:val="19"/>
      </w:rPr>
      <w:t xml:space="preserve">                     </w:t>
    </w:r>
    <w:r>
      <w:rPr>
        <w:rFonts w:hint="eastAsia" w:ascii="Calibri" w:hAnsi="Calibri"/>
        <w:color w:val="000000"/>
        <w:sz w:val="19"/>
        <w:lang w:val="en-US" w:eastAsia="zh-CN"/>
      </w:rPr>
      <w:t xml:space="preserve">         </w:t>
    </w:r>
    <w:r>
      <w:rPr>
        <w:rFonts w:hint="eastAsia" w:ascii="Calibri" w:hAnsi="Calibri"/>
        <w:color w:val="000000"/>
        <w:sz w:val="18"/>
        <w:szCs w:val="18"/>
        <w:lang w:val="en-US" w:eastAsia="zh-CN"/>
      </w:rPr>
      <w:t xml:space="preserve">          </w:t>
    </w:r>
    <w:r>
      <w:rPr>
        <w:rFonts w:hint="eastAsia" w:ascii="Calibri" w:hAnsi="Calibri"/>
        <w:color w:val="000000"/>
        <w:sz w:val="19"/>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20142">
    <w:pPr>
      <w:pStyle w:val="12"/>
      <w:pBdr>
        <w:bottom w:val="single" w:color="auto" w:sz="4" w:space="0"/>
      </w:pBdr>
      <w:spacing w:line="240" w:lineRule="auto"/>
      <w:jc w:val="left"/>
    </w:pPr>
    <w:r>
      <w:rPr>
        <w:rFonts w:hint="eastAsia"/>
        <w:lang w:val="en-US" w:eastAsia="zh-CN"/>
      </w:rPr>
      <w:t>北京市第二医院伦理审查委员会</w:t>
    </w:r>
    <w:r>
      <w:rPr>
        <w:rFonts w:hint="eastAsia" w:ascii="Calibri" w:hAnsi="Calibri" w:eastAsia="Calibri"/>
        <w:color w:val="000000"/>
        <w:sz w:val="18"/>
      </w:rPr>
      <w:t xml:space="preserve">      </w:t>
    </w:r>
    <w:r>
      <w:rPr>
        <w:rFonts w:hint="eastAsia" w:ascii="Calibri" w:hAnsi="Calibri"/>
        <w:color w:val="000000"/>
        <w:sz w:val="18"/>
        <w:lang w:val="en-US" w:eastAsia="zh-CN"/>
      </w:rPr>
      <w:t xml:space="preserve">      </w:t>
    </w:r>
    <w:r>
      <w:rPr>
        <w:rFonts w:hint="eastAsia"/>
        <w:lang w:val="en-US" w:eastAsia="zh-CN"/>
      </w:rPr>
      <w:t xml:space="preserve">伦理审查送审指南 </w:t>
    </w:r>
    <w:r>
      <w:rPr>
        <w:rFonts w:hint="eastAsia" w:ascii="Calibri" w:hAnsi="Calibri"/>
        <w:color w:val="000000"/>
        <w:sz w:val="18"/>
        <w:lang w:val="en-US" w:eastAsia="zh-CN"/>
      </w:rPr>
      <w:t xml:space="preserve"> </w:t>
    </w:r>
    <w:r>
      <w:rPr>
        <w:rFonts w:hint="eastAsia" w:ascii="Calibri" w:hAnsi="Calibri" w:eastAsia="Calibri"/>
        <w:color w:val="000000"/>
        <w:sz w:val="19"/>
      </w:rPr>
      <w:t xml:space="preserve">       </w:t>
    </w:r>
    <w:r>
      <w:rPr>
        <w:rFonts w:hint="eastAsia" w:ascii="Calibri" w:hAnsi="Calibri"/>
        <w:color w:val="000000"/>
        <w:sz w:val="19"/>
        <w:lang w:val="en-US" w:eastAsia="zh-CN"/>
      </w:rPr>
      <w:t xml:space="preserve">                  </w:t>
    </w:r>
    <w:r>
      <w:rPr>
        <w:rFonts w:hint="eastAsia"/>
        <w:lang w:val="en-US" w:eastAsia="zh-CN"/>
      </w:rPr>
      <w:t>IRB ZN/01.01/01.0</w:t>
    </w:r>
    <w:r>
      <w:rPr>
        <w:rFonts w:hint="eastAsia" w:ascii="Calibri" w:hAnsi="Calibri"/>
        <w:color w:val="000000"/>
        <w:sz w:val="19"/>
        <w:lang w:val="en-US" w:eastAsia="zh-CN"/>
      </w:rPr>
      <w:t xml:space="preserve">     </w:t>
    </w:r>
    <w:r>
      <w:rPr>
        <w:rFonts w:hint="eastAsia" w:ascii="Calibri" w:hAnsi="Calibri" w:eastAsia="Calibri"/>
        <w:color w:val="000000"/>
        <w:sz w:val="19"/>
      </w:rPr>
      <w:t xml:space="preserve">                     </w:t>
    </w:r>
    <w:r>
      <w:rPr>
        <w:rFonts w:hint="eastAsia" w:ascii="Calibri" w:hAnsi="Calibri"/>
        <w:color w:val="000000"/>
        <w:sz w:val="19"/>
        <w:lang w:val="en-US" w:eastAsia="zh-CN"/>
      </w:rPr>
      <w:t xml:space="preserve">         </w:t>
    </w:r>
    <w:r>
      <w:rPr>
        <w:rFonts w:hint="eastAsia" w:ascii="Calibri" w:hAnsi="Calibri"/>
        <w:color w:val="000000"/>
        <w:sz w:val="18"/>
        <w:szCs w:val="18"/>
        <w:lang w:val="en-US" w:eastAsia="zh-CN"/>
      </w:rPr>
      <w:t xml:space="preserve">          </w:t>
    </w:r>
    <w:r>
      <w:rPr>
        <w:rFonts w:hint="eastAsia" w:ascii="Calibri" w:hAnsi="Calibri"/>
        <w:color w:val="000000"/>
        <w:sz w:val="19"/>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E6EC1">
    <w:pPr>
      <w:pStyle w:val="12"/>
      <w:pBdr>
        <w:bottom w:val="single" w:color="auto" w:sz="4" w:space="0"/>
      </w:pBdr>
      <w:spacing w:line="240" w:lineRule="auto"/>
      <w:jc w:val="left"/>
    </w:pPr>
    <w:r>
      <w:rPr>
        <w:rFonts w:hint="eastAsia"/>
        <w:lang w:val="en-US" w:eastAsia="zh-CN"/>
      </w:rPr>
      <w:t>北京市第二医院伦理审查委员会</w:t>
    </w:r>
    <w:r>
      <w:rPr>
        <w:rFonts w:hint="eastAsia" w:ascii="Calibri" w:hAnsi="Calibri" w:eastAsia="Calibri"/>
        <w:color w:val="000000"/>
        <w:sz w:val="18"/>
      </w:rPr>
      <w:t xml:space="preserve">      </w:t>
    </w:r>
    <w:r>
      <w:rPr>
        <w:rFonts w:hint="eastAsia" w:ascii="Calibri" w:hAnsi="Calibri"/>
        <w:color w:val="000000"/>
        <w:sz w:val="18"/>
        <w:lang w:val="en-US" w:eastAsia="zh-CN"/>
      </w:rPr>
      <w:t xml:space="preserve">      </w:t>
    </w:r>
    <w:r>
      <w:rPr>
        <w:rFonts w:hint="eastAsia"/>
        <w:lang w:val="en-US" w:eastAsia="zh-CN"/>
      </w:rPr>
      <w:t xml:space="preserve">伦理审查送审指南 </w:t>
    </w:r>
    <w:r>
      <w:rPr>
        <w:rFonts w:hint="eastAsia" w:ascii="Calibri" w:hAnsi="Calibri"/>
        <w:color w:val="000000"/>
        <w:sz w:val="18"/>
        <w:lang w:val="en-US" w:eastAsia="zh-CN"/>
      </w:rPr>
      <w:t xml:space="preserve"> </w:t>
    </w:r>
    <w:r>
      <w:rPr>
        <w:rFonts w:hint="eastAsia" w:ascii="Calibri" w:hAnsi="Calibri" w:eastAsia="Calibri"/>
        <w:color w:val="000000"/>
        <w:sz w:val="19"/>
      </w:rPr>
      <w:t xml:space="preserve">       </w:t>
    </w:r>
    <w:r>
      <w:rPr>
        <w:rFonts w:hint="eastAsia" w:ascii="Calibri" w:hAnsi="Calibri"/>
        <w:color w:val="000000"/>
        <w:sz w:val="19"/>
        <w:lang w:val="en-US" w:eastAsia="zh-CN"/>
      </w:rPr>
      <w:t xml:space="preserve">               </w:t>
    </w:r>
    <w:r>
      <w:rPr>
        <w:rFonts w:hint="eastAsia"/>
        <w:lang w:val="en-US" w:eastAsia="zh-CN"/>
      </w:rPr>
      <w:t>IRB ZN/01.01/01.0</w:t>
    </w:r>
    <w:r>
      <w:rPr>
        <w:rFonts w:hint="eastAsia" w:ascii="Calibri" w:hAnsi="Calibri"/>
        <w:color w:val="000000"/>
        <w:sz w:val="19"/>
        <w:lang w:val="en-US" w:eastAsia="zh-CN"/>
      </w:rPr>
      <w:t xml:space="preserve">     </w:t>
    </w:r>
    <w:r>
      <w:rPr>
        <w:rFonts w:hint="eastAsia" w:ascii="Calibri" w:hAnsi="Calibri" w:eastAsia="Calibri"/>
        <w:color w:val="000000"/>
        <w:sz w:val="19"/>
      </w:rPr>
      <w:t xml:space="preserve">                     </w:t>
    </w:r>
    <w:r>
      <w:rPr>
        <w:rFonts w:hint="eastAsia" w:ascii="Calibri" w:hAnsi="Calibri"/>
        <w:color w:val="000000"/>
        <w:sz w:val="19"/>
        <w:lang w:val="en-US" w:eastAsia="zh-CN"/>
      </w:rPr>
      <w:t xml:space="preserve">         </w:t>
    </w:r>
    <w:r>
      <w:rPr>
        <w:rFonts w:hint="eastAsia" w:ascii="Calibri" w:hAnsi="Calibri"/>
        <w:color w:val="000000"/>
        <w:sz w:val="18"/>
        <w:szCs w:val="18"/>
        <w:lang w:val="en-US" w:eastAsia="zh-CN"/>
      </w:rPr>
      <w:t xml:space="preserve">          </w:t>
    </w:r>
    <w:r>
      <w:rPr>
        <w:rFonts w:hint="eastAsia" w:ascii="Calibri" w:hAnsi="Calibri"/>
        <w:color w:val="000000"/>
        <w:sz w:val="19"/>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04712"/>
    <w:multiLevelType w:val="singleLevel"/>
    <w:tmpl w:val="81A04712"/>
    <w:lvl w:ilvl="0" w:tentative="0">
      <w:start w:val="1"/>
      <w:numFmt w:val="decimal"/>
      <w:suff w:val="nothing"/>
      <w:lvlText w:val="（%1）"/>
      <w:lvlJc w:val="left"/>
    </w:lvl>
  </w:abstractNum>
  <w:abstractNum w:abstractNumId="1">
    <w:nsid w:val="3EB94F11"/>
    <w:multiLevelType w:val="singleLevel"/>
    <w:tmpl w:val="3EB94F11"/>
    <w:lvl w:ilvl="0" w:tentative="0">
      <w:start w:val="2"/>
      <w:numFmt w:val="decimal"/>
      <w:suff w:val="nothing"/>
      <w:lvlText w:val="%1．"/>
      <w:lvlJc w:val="left"/>
    </w:lvl>
  </w:abstractNum>
  <w:abstractNum w:abstractNumId="2">
    <w:nsid w:val="5127D542"/>
    <w:multiLevelType w:val="singleLevel"/>
    <w:tmpl w:val="5127D542"/>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16"/>
    <w:rsid w:val="0000265F"/>
    <w:rsid w:val="00022697"/>
    <w:rsid w:val="00037B8A"/>
    <w:rsid w:val="000431BE"/>
    <w:rsid w:val="000602C6"/>
    <w:rsid w:val="0006390A"/>
    <w:rsid w:val="00065BF5"/>
    <w:rsid w:val="00093416"/>
    <w:rsid w:val="000A2D7F"/>
    <w:rsid w:val="000E288F"/>
    <w:rsid w:val="00113160"/>
    <w:rsid w:val="00116C2C"/>
    <w:rsid w:val="001213F0"/>
    <w:rsid w:val="0012261F"/>
    <w:rsid w:val="00123493"/>
    <w:rsid w:val="001275BD"/>
    <w:rsid w:val="001504AA"/>
    <w:rsid w:val="0015154F"/>
    <w:rsid w:val="00162A5C"/>
    <w:rsid w:val="00163058"/>
    <w:rsid w:val="001632C5"/>
    <w:rsid w:val="00166458"/>
    <w:rsid w:val="00166CED"/>
    <w:rsid w:val="00174D2A"/>
    <w:rsid w:val="00182401"/>
    <w:rsid w:val="00183E4D"/>
    <w:rsid w:val="00197634"/>
    <w:rsid w:val="001B1936"/>
    <w:rsid w:val="001E5100"/>
    <w:rsid w:val="00201017"/>
    <w:rsid w:val="00213933"/>
    <w:rsid w:val="00217576"/>
    <w:rsid w:val="0022023B"/>
    <w:rsid w:val="00224469"/>
    <w:rsid w:val="00226B9A"/>
    <w:rsid w:val="00230FEC"/>
    <w:rsid w:val="0023336F"/>
    <w:rsid w:val="002756D9"/>
    <w:rsid w:val="00290E9B"/>
    <w:rsid w:val="002B337E"/>
    <w:rsid w:val="002B6B62"/>
    <w:rsid w:val="002C4EEA"/>
    <w:rsid w:val="002D2F88"/>
    <w:rsid w:val="002F0E63"/>
    <w:rsid w:val="002F162E"/>
    <w:rsid w:val="002F36E9"/>
    <w:rsid w:val="00315963"/>
    <w:rsid w:val="00315C82"/>
    <w:rsid w:val="003455D0"/>
    <w:rsid w:val="00372678"/>
    <w:rsid w:val="00373C96"/>
    <w:rsid w:val="0038145F"/>
    <w:rsid w:val="00383030"/>
    <w:rsid w:val="003B04F3"/>
    <w:rsid w:val="003B4B61"/>
    <w:rsid w:val="003B5396"/>
    <w:rsid w:val="003B71F1"/>
    <w:rsid w:val="003C2B87"/>
    <w:rsid w:val="003D44A4"/>
    <w:rsid w:val="003D538E"/>
    <w:rsid w:val="003E4B0C"/>
    <w:rsid w:val="003F1C61"/>
    <w:rsid w:val="003F5EB2"/>
    <w:rsid w:val="00411C1A"/>
    <w:rsid w:val="00415D74"/>
    <w:rsid w:val="0041638C"/>
    <w:rsid w:val="00417A64"/>
    <w:rsid w:val="00427629"/>
    <w:rsid w:val="00431589"/>
    <w:rsid w:val="004326E1"/>
    <w:rsid w:val="004459F0"/>
    <w:rsid w:val="004521CA"/>
    <w:rsid w:val="00452A28"/>
    <w:rsid w:val="004536F1"/>
    <w:rsid w:val="0045780A"/>
    <w:rsid w:val="00466579"/>
    <w:rsid w:val="004811F9"/>
    <w:rsid w:val="004951F5"/>
    <w:rsid w:val="004A612E"/>
    <w:rsid w:val="004A6255"/>
    <w:rsid w:val="004A7939"/>
    <w:rsid w:val="004C59A9"/>
    <w:rsid w:val="004D0A53"/>
    <w:rsid w:val="004D7448"/>
    <w:rsid w:val="004E5EA8"/>
    <w:rsid w:val="00512C72"/>
    <w:rsid w:val="00512E7D"/>
    <w:rsid w:val="005170E3"/>
    <w:rsid w:val="00522E87"/>
    <w:rsid w:val="005308B4"/>
    <w:rsid w:val="005624D6"/>
    <w:rsid w:val="005655DF"/>
    <w:rsid w:val="005659BD"/>
    <w:rsid w:val="00571FA9"/>
    <w:rsid w:val="00574AE0"/>
    <w:rsid w:val="00574FA2"/>
    <w:rsid w:val="005A56C5"/>
    <w:rsid w:val="005A7CBD"/>
    <w:rsid w:val="005B1753"/>
    <w:rsid w:val="005C076A"/>
    <w:rsid w:val="005C0C1D"/>
    <w:rsid w:val="005E2E1C"/>
    <w:rsid w:val="005E4386"/>
    <w:rsid w:val="005E709F"/>
    <w:rsid w:val="005F2ECD"/>
    <w:rsid w:val="005F44EF"/>
    <w:rsid w:val="006012A7"/>
    <w:rsid w:val="006039DB"/>
    <w:rsid w:val="00615928"/>
    <w:rsid w:val="006429F1"/>
    <w:rsid w:val="006437D2"/>
    <w:rsid w:val="0065467D"/>
    <w:rsid w:val="00655038"/>
    <w:rsid w:val="006613CF"/>
    <w:rsid w:val="0067265A"/>
    <w:rsid w:val="00672F86"/>
    <w:rsid w:val="006827B9"/>
    <w:rsid w:val="006879CD"/>
    <w:rsid w:val="00693E68"/>
    <w:rsid w:val="006A201F"/>
    <w:rsid w:val="006B11D3"/>
    <w:rsid w:val="006B3B7E"/>
    <w:rsid w:val="006B7746"/>
    <w:rsid w:val="006C1B74"/>
    <w:rsid w:val="006C2387"/>
    <w:rsid w:val="006D77E9"/>
    <w:rsid w:val="006E5754"/>
    <w:rsid w:val="006F0D54"/>
    <w:rsid w:val="006F24A8"/>
    <w:rsid w:val="00701691"/>
    <w:rsid w:val="00707B42"/>
    <w:rsid w:val="00711909"/>
    <w:rsid w:val="0071314D"/>
    <w:rsid w:val="00715099"/>
    <w:rsid w:val="0072444A"/>
    <w:rsid w:val="00732C34"/>
    <w:rsid w:val="0073331C"/>
    <w:rsid w:val="007339F9"/>
    <w:rsid w:val="0075665B"/>
    <w:rsid w:val="007856F5"/>
    <w:rsid w:val="0078718B"/>
    <w:rsid w:val="007958ED"/>
    <w:rsid w:val="00795C1E"/>
    <w:rsid w:val="007C048F"/>
    <w:rsid w:val="007C1223"/>
    <w:rsid w:val="007C1847"/>
    <w:rsid w:val="007D12FC"/>
    <w:rsid w:val="00804DBE"/>
    <w:rsid w:val="00816470"/>
    <w:rsid w:val="00823811"/>
    <w:rsid w:val="00824A2C"/>
    <w:rsid w:val="008274B8"/>
    <w:rsid w:val="00831458"/>
    <w:rsid w:val="00831F9C"/>
    <w:rsid w:val="008367AF"/>
    <w:rsid w:val="00837235"/>
    <w:rsid w:val="00837933"/>
    <w:rsid w:val="00840ECD"/>
    <w:rsid w:val="0085263F"/>
    <w:rsid w:val="00852D05"/>
    <w:rsid w:val="00866760"/>
    <w:rsid w:val="00866DCD"/>
    <w:rsid w:val="008768CC"/>
    <w:rsid w:val="008778B7"/>
    <w:rsid w:val="00890640"/>
    <w:rsid w:val="008B3EF5"/>
    <w:rsid w:val="008C114A"/>
    <w:rsid w:val="008C7BB9"/>
    <w:rsid w:val="008D038B"/>
    <w:rsid w:val="008D19F1"/>
    <w:rsid w:val="008D4C7A"/>
    <w:rsid w:val="008E167D"/>
    <w:rsid w:val="008E1BFA"/>
    <w:rsid w:val="008F04B5"/>
    <w:rsid w:val="008F7044"/>
    <w:rsid w:val="00922C12"/>
    <w:rsid w:val="0093764B"/>
    <w:rsid w:val="00942F69"/>
    <w:rsid w:val="00950B0D"/>
    <w:rsid w:val="009623E2"/>
    <w:rsid w:val="00963EAA"/>
    <w:rsid w:val="00967481"/>
    <w:rsid w:val="009B297D"/>
    <w:rsid w:val="009C3B5F"/>
    <w:rsid w:val="009D745F"/>
    <w:rsid w:val="00A1030A"/>
    <w:rsid w:val="00A14DA0"/>
    <w:rsid w:val="00A169D6"/>
    <w:rsid w:val="00A33319"/>
    <w:rsid w:val="00A3385C"/>
    <w:rsid w:val="00A3450E"/>
    <w:rsid w:val="00A435FE"/>
    <w:rsid w:val="00A80BF3"/>
    <w:rsid w:val="00A9161E"/>
    <w:rsid w:val="00A925EA"/>
    <w:rsid w:val="00A974A3"/>
    <w:rsid w:val="00AA014A"/>
    <w:rsid w:val="00AA3F57"/>
    <w:rsid w:val="00AB1D0A"/>
    <w:rsid w:val="00AB2D60"/>
    <w:rsid w:val="00AB48B8"/>
    <w:rsid w:val="00AE406A"/>
    <w:rsid w:val="00B0310F"/>
    <w:rsid w:val="00B05CC4"/>
    <w:rsid w:val="00B12FBD"/>
    <w:rsid w:val="00B157BC"/>
    <w:rsid w:val="00B20176"/>
    <w:rsid w:val="00B24C8A"/>
    <w:rsid w:val="00B5343E"/>
    <w:rsid w:val="00B665FA"/>
    <w:rsid w:val="00B67D80"/>
    <w:rsid w:val="00B729FF"/>
    <w:rsid w:val="00B811FB"/>
    <w:rsid w:val="00B818A4"/>
    <w:rsid w:val="00B82328"/>
    <w:rsid w:val="00B8282A"/>
    <w:rsid w:val="00B83837"/>
    <w:rsid w:val="00B95A74"/>
    <w:rsid w:val="00BA1B10"/>
    <w:rsid w:val="00BA27FC"/>
    <w:rsid w:val="00BB0183"/>
    <w:rsid w:val="00BB2DFE"/>
    <w:rsid w:val="00BB355B"/>
    <w:rsid w:val="00BB3FCD"/>
    <w:rsid w:val="00BC1246"/>
    <w:rsid w:val="00BD2EDF"/>
    <w:rsid w:val="00BD7973"/>
    <w:rsid w:val="00BF1DAF"/>
    <w:rsid w:val="00BF1ED6"/>
    <w:rsid w:val="00BF31C4"/>
    <w:rsid w:val="00C02601"/>
    <w:rsid w:val="00C179F8"/>
    <w:rsid w:val="00C210DC"/>
    <w:rsid w:val="00C50374"/>
    <w:rsid w:val="00C53E4C"/>
    <w:rsid w:val="00C54F0C"/>
    <w:rsid w:val="00C60B7C"/>
    <w:rsid w:val="00C708C0"/>
    <w:rsid w:val="00C70B8F"/>
    <w:rsid w:val="00C7579E"/>
    <w:rsid w:val="00C94285"/>
    <w:rsid w:val="00CA203D"/>
    <w:rsid w:val="00CA5764"/>
    <w:rsid w:val="00CA5EC2"/>
    <w:rsid w:val="00CB4FB2"/>
    <w:rsid w:val="00CC47FF"/>
    <w:rsid w:val="00CD2B24"/>
    <w:rsid w:val="00CE535B"/>
    <w:rsid w:val="00CE5A89"/>
    <w:rsid w:val="00CF0D55"/>
    <w:rsid w:val="00D0000E"/>
    <w:rsid w:val="00D14E26"/>
    <w:rsid w:val="00D203EE"/>
    <w:rsid w:val="00D24F95"/>
    <w:rsid w:val="00D47084"/>
    <w:rsid w:val="00D47228"/>
    <w:rsid w:val="00D7050A"/>
    <w:rsid w:val="00D747DE"/>
    <w:rsid w:val="00DA4F16"/>
    <w:rsid w:val="00DA57D5"/>
    <w:rsid w:val="00DA7B9C"/>
    <w:rsid w:val="00DE0287"/>
    <w:rsid w:val="00DE2A2C"/>
    <w:rsid w:val="00E14C31"/>
    <w:rsid w:val="00E200FF"/>
    <w:rsid w:val="00E35858"/>
    <w:rsid w:val="00E36119"/>
    <w:rsid w:val="00E71561"/>
    <w:rsid w:val="00E8706E"/>
    <w:rsid w:val="00E91D18"/>
    <w:rsid w:val="00E962D4"/>
    <w:rsid w:val="00EB1972"/>
    <w:rsid w:val="00ED05ED"/>
    <w:rsid w:val="00ED0B91"/>
    <w:rsid w:val="00ED6964"/>
    <w:rsid w:val="00EE15A7"/>
    <w:rsid w:val="00EE326C"/>
    <w:rsid w:val="00EE58A8"/>
    <w:rsid w:val="00EE7D46"/>
    <w:rsid w:val="00F04315"/>
    <w:rsid w:val="00F30BB8"/>
    <w:rsid w:val="00F3458D"/>
    <w:rsid w:val="00F359F2"/>
    <w:rsid w:val="00F63932"/>
    <w:rsid w:val="00F65304"/>
    <w:rsid w:val="00F70B4C"/>
    <w:rsid w:val="00F739B3"/>
    <w:rsid w:val="00F83FDC"/>
    <w:rsid w:val="00F9300A"/>
    <w:rsid w:val="00FB41CF"/>
    <w:rsid w:val="00FD03C5"/>
    <w:rsid w:val="00FD06F7"/>
    <w:rsid w:val="00FF2E39"/>
    <w:rsid w:val="01F43607"/>
    <w:rsid w:val="025F5EE2"/>
    <w:rsid w:val="02BD4C7B"/>
    <w:rsid w:val="02E700C5"/>
    <w:rsid w:val="04AB067A"/>
    <w:rsid w:val="057B0A2A"/>
    <w:rsid w:val="0671283A"/>
    <w:rsid w:val="068C77BF"/>
    <w:rsid w:val="06FA7A80"/>
    <w:rsid w:val="0A056050"/>
    <w:rsid w:val="0AD72216"/>
    <w:rsid w:val="0B207682"/>
    <w:rsid w:val="0BC32611"/>
    <w:rsid w:val="0BD832A1"/>
    <w:rsid w:val="0C833E82"/>
    <w:rsid w:val="0D412829"/>
    <w:rsid w:val="0E225C24"/>
    <w:rsid w:val="0E58103D"/>
    <w:rsid w:val="0F5D57B7"/>
    <w:rsid w:val="10290AD0"/>
    <w:rsid w:val="10CF57A8"/>
    <w:rsid w:val="10D64228"/>
    <w:rsid w:val="114C40DE"/>
    <w:rsid w:val="11E55EFD"/>
    <w:rsid w:val="130A061A"/>
    <w:rsid w:val="151F7CBE"/>
    <w:rsid w:val="15907FDC"/>
    <w:rsid w:val="16207BE8"/>
    <w:rsid w:val="17532F30"/>
    <w:rsid w:val="18617F2C"/>
    <w:rsid w:val="198D7830"/>
    <w:rsid w:val="1A175DC2"/>
    <w:rsid w:val="1A217B94"/>
    <w:rsid w:val="1BAE2F53"/>
    <w:rsid w:val="1C6A2867"/>
    <w:rsid w:val="1C7B0EAA"/>
    <w:rsid w:val="1CE7330F"/>
    <w:rsid w:val="1D8C2C08"/>
    <w:rsid w:val="20317D67"/>
    <w:rsid w:val="204D1057"/>
    <w:rsid w:val="21A72113"/>
    <w:rsid w:val="23376D02"/>
    <w:rsid w:val="23675887"/>
    <w:rsid w:val="24185837"/>
    <w:rsid w:val="252D1F5D"/>
    <w:rsid w:val="26A6088E"/>
    <w:rsid w:val="279A4E86"/>
    <w:rsid w:val="27B60696"/>
    <w:rsid w:val="2819316C"/>
    <w:rsid w:val="281A7528"/>
    <w:rsid w:val="28267D10"/>
    <w:rsid w:val="28902F18"/>
    <w:rsid w:val="28F97A3C"/>
    <w:rsid w:val="2A752D5A"/>
    <w:rsid w:val="2B36525E"/>
    <w:rsid w:val="2B3B0109"/>
    <w:rsid w:val="2BFB6177"/>
    <w:rsid w:val="2C1B5FEB"/>
    <w:rsid w:val="2C4C7406"/>
    <w:rsid w:val="2C85438E"/>
    <w:rsid w:val="2CD91751"/>
    <w:rsid w:val="2E6A579C"/>
    <w:rsid w:val="2F112F6D"/>
    <w:rsid w:val="2F431D61"/>
    <w:rsid w:val="2FB073A8"/>
    <w:rsid w:val="303022BE"/>
    <w:rsid w:val="30390544"/>
    <w:rsid w:val="30506917"/>
    <w:rsid w:val="306474CE"/>
    <w:rsid w:val="306F0A4E"/>
    <w:rsid w:val="31C91BC9"/>
    <w:rsid w:val="31E02BD7"/>
    <w:rsid w:val="32A72ABD"/>
    <w:rsid w:val="32AB3213"/>
    <w:rsid w:val="34F7103F"/>
    <w:rsid w:val="35C007E2"/>
    <w:rsid w:val="36171205"/>
    <w:rsid w:val="362123BC"/>
    <w:rsid w:val="367D67BA"/>
    <w:rsid w:val="36B17369"/>
    <w:rsid w:val="36ED28C1"/>
    <w:rsid w:val="3823024B"/>
    <w:rsid w:val="39184D2C"/>
    <w:rsid w:val="399E57AA"/>
    <w:rsid w:val="3A2F61BE"/>
    <w:rsid w:val="3ABF6812"/>
    <w:rsid w:val="3B311D6A"/>
    <w:rsid w:val="3C0275A9"/>
    <w:rsid w:val="3D282B44"/>
    <w:rsid w:val="3D3A6055"/>
    <w:rsid w:val="3EDF288A"/>
    <w:rsid w:val="3F164DB7"/>
    <w:rsid w:val="3F220913"/>
    <w:rsid w:val="3F2B740C"/>
    <w:rsid w:val="401A49C5"/>
    <w:rsid w:val="402C1320"/>
    <w:rsid w:val="409633A3"/>
    <w:rsid w:val="4224103D"/>
    <w:rsid w:val="42BF022A"/>
    <w:rsid w:val="43630DCB"/>
    <w:rsid w:val="439E0373"/>
    <w:rsid w:val="441F297E"/>
    <w:rsid w:val="45030E7B"/>
    <w:rsid w:val="46495C1D"/>
    <w:rsid w:val="466674F5"/>
    <w:rsid w:val="48376410"/>
    <w:rsid w:val="486C73BB"/>
    <w:rsid w:val="4AB167B0"/>
    <w:rsid w:val="4CAF63A3"/>
    <w:rsid w:val="4D4129BD"/>
    <w:rsid w:val="4D887649"/>
    <w:rsid w:val="4EF60195"/>
    <w:rsid w:val="4FA97429"/>
    <w:rsid w:val="508F3887"/>
    <w:rsid w:val="516C5D0E"/>
    <w:rsid w:val="51B313B4"/>
    <w:rsid w:val="52A26164"/>
    <w:rsid w:val="53BB4387"/>
    <w:rsid w:val="53F24654"/>
    <w:rsid w:val="53F34209"/>
    <w:rsid w:val="54D1519B"/>
    <w:rsid w:val="55DE0971"/>
    <w:rsid w:val="56032495"/>
    <w:rsid w:val="565A074F"/>
    <w:rsid w:val="57621576"/>
    <w:rsid w:val="58321E05"/>
    <w:rsid w:val="587A2310"/>
    <w:rsid w:val="58BC2245"/>
    <w:rsid w:val="597474E8"/>
    <w:rsid w:val="5A0C2AF8"/>
    <w:rsid w:val="5A1667C7"/>
    <w:rsid w:val="5B1F728F"/>
    <w:rsid w:val="5B920480"/>
    <w:rsid w:val="5C126AAF"/>
    <w:rsid w:val="5C5746CE"/>
    <w:rsid w:val="5D144B38"/>
    <w:rsid w:val="5D3B6BA9"/>
    <w:rsid w:val="5D6E69E5"/>
    <w:rsid w:val="5D9E20B0"/>
    <w:rsid w:val="5F8870DE"/>
    <w:rsid w:val="601F4E93"/>
    <w:rsid w:val="6039779F"/>
    <w:rsid w:val="61341DC8"/>
    <w:rsid w:val="613A092C"/>
    <w:rsid w:val="63F338D2"/>
    <w:rsid w:val="64A07D97"/>
    <w:rsid w:val="650E70C3"/>
    <w:rsid w:val="65AE7A88"/>
    <w:rsid w:val="65E94C61"/>
    <w:rsid w:val="661D7062"/>
    <w:rsid w:val="663C5FB4"/>
    <w:rsid w:val="66CF7EDF"/>
    <w:rsid w:val="67A05548"/>
    <w:rsid w:val="68137D1B"/>
    <w:rsid w:val="682D3E4B"/>
    <w:rsid w:val="68DE55FF"/>
    <w:rsid w:val="69276645"/>
    <w:rsid w:val="69B14838"/>
    <w:rsid w:val="69C069F9"/>
    <w:rsid w:val="69D3417E"/>
    <w:rsid w:val="6AA04623"/>
    <w:rsid w:val="6AF556F8"/>
    <w:rsid w:val="6B2724E0"/>
    <w:rsid w:val="6B90226A"/>
    <w:rsid w:val="6FD64D83"/>
    <w:rsid w:val="70094F00"/>
    <w:rsid w:val="71592E91"/>
    <w:rsid w:val="71E17C8C"/>
    <w:rsid w:val="725B146D"/>
    <w:rsid w:val="72952CCC"/>
    <w:rsid w:val="7385030D"/>
    <w:rsid w:val="73973BB9"/>
    <w:rsid w:val="757039F5"/>
    <w:rsid w:val="77483F35"/>
    <w:rsid w:val="78B7347A"/>
    <w:rsid w:val="78B74517"/>
    <w:rsid w:val="79404884"/>
    <w:rsid w:val="7971559C"/>
    <w:rsid w:val="79A30DF8"/>
    <w:rsid w:val="79C957B0"/>
    <w:rsid w:val="7A496506"/>
    <w:rsid w:val="7A583A32"/>
    <w:rsid w:val="7B896505"/>
    <w:rsid w:val="7C4333BF"/>
    <w:rsid w:val="7D9D3614"/>
    <w:rsid w:val="7DAA2449"/>
    <w:rsid w:val="7E7A7838"/>
    <w:rsid w:val="7EC5624F"/>
    <w:rsid w:val="7F682F56"/>
    <w:rsid w:val="7F8950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1"/>
      <w:ind w:left="1212" w:hanging="426"/>
      <w:outlineLvl w:val="0"/>
    </w:pPr>
    <w:rPr>
      <w:rFonts w:ascii="宋体" w:hAnsi="宋体" w:eastAsia="宋体" w:cs="宋体"/>
      <w:b/>
      <w:bCs/>
      <w:sz w:val="24"/>
      <w:szCs w:val="24"/>
      <w:lang w:val="zh-CN" w:eastAsia="zh-CN" w:bidi="zh-CN"/>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macro"/>
    <w:link w:val="19"/>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jc w:val="both"/>
    </w:pPr>
    <w:rPr>
      <w:rFonts w:ascii="Courier New" w:hAnsi="Courier New" w:eastAsia="宋体" w:cs="Courier New"/>
      <w:kern w:val="2"/>
      <w:sz w:val="24"/>
      <w:szCs w:val="24"/>
      <w:lang w:val="en-US" w:eastAsia="zh-CN" w:bidi="ar-SA"/>
    </w:rPr>
  </w:style>
  <w:style w:type="paragraph" w:styleId="5">
    <w:name w:val="annotation text"/>
    <w:basedOn w:val="1"/>
    <w:unhideWhenUsed/>
    <w:qFormat/>
    <w:uiPriority w:val="99"/>
    <w:pPr>
      <w:jc w:val="left"/>
    </w:pPr>
  </w:style>
  <w:style w:type="paragraph" w:styleId="6">
    <w:name w:val="Body Text"/>
    <w:basedOn w:val="1"/>
    <w:link w:val="20"/>
    <w:qFormat/>
    <w:uiPriority w:val="0"/>
    <w:rPr>
      <w:sz w:val="24"/>
    </w:rPr>
  </w:style>
  <w:style w:type="paragraph" w:styleId="7">
    <w:name w:val="Body Text Indent"/>
    <w:basedOn w:val="1"/>
    <w:qFormat/>
    <w:uiPriority w:val="0"/>
    <w:pPr>
      <w:spacing w:after="120"/>
      <w:ind w:left="420" w:leftChars="200"/>
    </w:pPr>
  </w:style>
  <w:style w:type="paragraph" w:styleId="8">
    <w:name w:val="Plain Text"/>
    <w:basedOn w:val="1"/>
    <w:qFormat/>
    <w:uiPriority w:val="99"/>
    <w:rPr>
      <w:rFonts w:ascii="宋体" w:hAnsi="Courier New" w:cs="宋体"/>
    </w:rPr>
  </w:style>
  <w:style w:type="paragraph" w:styleId="9">
    <w:name w:val="Body Text Indent 2"/>
    <w:basedOn w:val="1"/>
    <w:qFormat/>
    <w:uiPriority w:val="0"/>
    <w:pPr>
      <w:ind w:firstLine="640" w:firstLineChars="200"/>
    </w:pPr>
    <w:rPr>
      <w:rFonts w:hint="default" w:ascii="Calibri" w:hAnsi="Calibri"/>
      <w:szCs w:val="24"/>
    </w:rPr>
  </w:style>
  <w:style w:type="paragraph" w:styleId="10">
    <w:name w:val="Balloon Text"/>
    <w:basedOn w:val="1"/>
    <w:link w:val="21"/>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kern w:val="0"/>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5">
    <w:name w:val="Table Grid"/>
    <w:basedOn w:val="14"/>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Hyperlink"/>
    <w:qFormat/>
    <w:uiPriority w:val="99"/>
    <w:rPr>
      <w:rFonts w:cs="Times New Roman"/>
      <w:color w:val="333333"/>
      <w:u w:val="none"/>
    </w:rPr>
  </w:style>
  <w:style w:type="character" w:customStyle="1" w:styleId="19">
    <w:name w:val="宏文本 Char"/>
    <w:link w:val="2"/>
    <w:qFormat/>
    <w:uiPriority w:val="99"/>
    <w:rPr>
      <w:rFonts w:ascii="Courier New" w:hAnsi="Courier New" w:cs="Courier New"/>
      <w:kern w:val="2"/>
      <w:sz w:val="24"/>
      <w:szCs w:val="24"/>
      <w:lang w:val="en-US" w:eastAsia="zh-CN" w:bidi="ar-SA"/>
    </w:rPr>
  </w:style>
  <w:style w:type="character" w:customStyle="1" w:styleId="20">
    <w:name w:val="正文文本 Char"/>
    <w:link w:val="6"/>
    <w:qFormat/>
    <w:uiPriority w:val="0"/>
    <w:rPr>
      <w:rFonts w:ascii="Times New Roman" w:hAnsi="Times New Roman"/>
      <w:kern w:val="2"/>
      <w:sz w:val="24"/>
      <w:szCs w:val="24"/>
    </w:rPr>
  </w:style>
  <w:style w:type="character" w:customStyle="1" w:styleId="21">
    <w:name w:val="批注框文本 Char"/>
    <w:link w:val="10"/>
    <w:semiHidden/>
    <w:qFormat/>
    <w:uiPriority w:val="99"/>
    <w:rPr>
      <w:rFonts w:ascii="Times New Roman" w:hAnsi="Times New Roman"/>
      <w:kern w:val="2"/>
      <w:sz w:val="18"/>
      <w:szCs w:val="18"/>
    </w:rPr>
  </w:style>
  <w:style w:type="character" w:customStyle="1" w:styleId="22">
    <w:name w:val="页脚 Char"/>
    <w:link w:val="11"/>
    <w:qFormat/>
    <w:uiPriority w:val="99"/>
    <w:rPr>
      <w:rFonts w:ascii="Times New Roman" w:hAnsi="Times New Roman" w:eastAsia="宋体" w:cs="Times New Roman"/>
      <w:sz w:val="18"/>
      <w:szCs w:val="18"/>
    </w:rPr>
  </w:style>
  <w:style w:type="character" w:customStyle="1" w:styleId="23">
    <w:name w:val="页眉 Char"/>
    <w:link w:val="12"/>
    <w:qFormat/>
    <w:uiPriority w:val="0"/>
    <w:rPr>
      <w:rFonts w:ascii="Times New Roman" w:hAnsi="Times New Roman" w:eastAsia="宋体" w:cs="Times New Roman"/>
      <w:sz w:val="18"/>
      <w:szCs w:val="18"/>
    </w:rPr>
  </w:style>
  <w:style w:type="paragraph" w:customStyle="1" w:styleId="24">
    <w:name w:val="4"/>
    <w:basedOn w:val="1"/>
    <w:qFormat/>
    <w:uiPriority w:val="0"/>
    <w:pPr>
      <w:keepNext/>
      <w:keepLines/>
      <w:ind w:left="200" w:leftChars="200"/>
      <w:outlineLvl w:val="3"/>
    </w:pPr>
    <w:rPr>
      <w:rFonts w:eastAsia="黑体" w:cs="宋体"/>
      <w:b/>
      <w:bCs/>
      <w:kern w:val="0"/>
      <w:sz w:val="28"/>
      <w:szCs w:val="20"/>
    </w:rPr>
  </w:style>
  <w:style w:type="paragraph" w:customStyle="1" w:styleId="25">
    <w:name w:val="样式8"/>
    <w:basedOn w:val="1"/>
    <w:next w:val="1"/>
    <w:qFormat/>
    <w:uiPriority w:val="0"/>
  </w:style>
  <w:style w:type="paragraph" w:styleId="2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5756</Words>
  <Characters>6289</Characters>
  <Lines>9</Lines>
  <Paragraphs>2</Paragraphs>
  <TotalTime>2</TotalTime>
  <ScaleCrop>false</ScaleCrop>
  <LinksUpToDate>false</LinksUpToDate>
  <CharactersWithSpaces>6321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2018-09-14T02:21:00Z</dcterms:created>
  <dc:creator>hp</dc:creator>
  <cp:lastModifiedBy>佶</cp:lastModifiedBy>
  <cp:lastPrinted>2025-04-28T02:18:00Z</cp:lastPrinted>
  <dcterms:modified xsi:type="dcterms:W3CDTF">2025-07-09T04:18:50Z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eyJoZGlkIjoiMmM3ZDMyYTA4ZGVkMDE1ODI5M2M3YWVhMzRlNTQxMGUiLCJ1c2VySWQiOiIyMjA3MjkzMDYifQ==</vt:lpwstr>
  </property>
  <property fmtid="{D5CDD505-2E9C-101B-9397-08002B2CF9AE}" pid="4" name="ICV">
    <vt:lpwstr>EE553FE1E212468384B83B9627E350BB_13</vt:lpwstr>
  </property>
</Properties>
</file>