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E7D21">
      <w:pPr>
        <w:tabs>
          <w:tab w:val="left" w:pos="1907"/>
        </w:tabs>
        <w:bidi w:val="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免除知情同意或免签知情同意书申请表</w:t>
      </w:r>
    </w:p>
    <w:tbl>
      <w:tblPr>
        <w:tblStyle w:val="6"/>
        <w:tblpPr w:leftFromText="180" w:rightFromText="180" w:vertAnchor="text" w:horzAnchor="page" w:tblpX="1574" w:tblpY="351"/>
        <w:tblOverlap w:val="never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65"/>
        <w:gridCol w:w="749"/>
        <w:gridCol w:w="1902"/>
        <w:gridCol w:w="312"/>
        <w:gridCol w:w="1257"/>
        <w:gridCol w:w="957"/>
        <w:gridCol w:w="2217"/>
      </w:tblGrid>
      <w:tr w14:paraId="74D9F47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114C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98F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477269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2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C57A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申办者／立项单位资助单位</w:t>
            </w:r>
          </w:p>
        </w:tc>
        <w:tc>
          <w:tcPr>
            <w:tcW w:w="7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9CB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5FE20A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70FD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56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B66E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97CA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56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承担科室</w:t>
            </w:r>
          </w:p>
        </w:tc>
        <w:tc>
          <w:tcPr>
            <w:tcW w:w="3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B57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E374AC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88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D898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57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一、免除知情同意（不适用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过）</w:t>
            </w:r>
          </w:p>
        </w:tc>
      </w:tr>
      <w:tr w14:paraId="30B429C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9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8275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A4602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免除知情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意范围</w:t>
            </w:r>
          </w:p>
        </w:tc>
        <w:tc>
          <w:tcPr>
            <w:tcW w:w="7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2CB8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8" w:after="0" w:line="360" w:lineRule="auto"/>
              <w:ind w:firstLine="123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□全部研究参与者均免除签署</w:t>
            </w:r>
          </w:p>
          <w:p w14:paraId="08752E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" w:after="0" w:line="360" w:lineRule="auto"/>
              <w:ind w:firstLine="123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□部分研究参与者免除签署，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>请说明免除研究参与者范围（必填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）：</w:t>
            </w:r>
          </w:p>
          <w:p w14:paraId="4C0494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123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 w14:paraId="5715C3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7" w:after="0" w:line="360" w:lineRule="auto"/>
              <w:ind w:firstLine="23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注：选择部分免除选项，应同时向伦理审查委员会提交知情同意书。</w:t>
            </w:r>
          </w:p>
        </w:tc>
      </w:tr>
      <w:tr w14:paraId="7B3A790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2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F598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00EAD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免除理由（请二选一）</w:t>
            </w:r>
          </w:p>
        </w:tc>
        <w:tc>
          <w:tcPr>
            <w:tcW w:w="7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1E63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23" w:right="20" w:firstLine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A.利用可识别身份信息的人体材料或者数据进行研究，已无法找到该研究参与者，且研究项目不涉及个人隐私和商业利益的，</w:t>
            </w:r>
          </w:p>
          <w:p w14:paraId="2DA374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23" w:right="20" w:firstLine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B.生物样本捐献者已经签署了知情同意书，同意所捐献样本及相关信息可用于所有医学研究的，或已签署的知情同意书对应的研究方案、范围、内容未发生变化的.</w:t>
            </w:r>
          </w:p>
        </w:tc>
      </w:tr>
      <w:tr w14:paraId="42EA40F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8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0611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5B9340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49E5FB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28346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31295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重要提示</w:t>
            </w:r>
          </w:p>
        </w:tc>
        <w:tc>
          <w:tcPr>
            <w:tcW w:w="7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F2DF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firstLine="203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1、勾选免除理由A</w:t>
            </w:r>
          </w:p>
          <w:p w14:paraId="6CD5F4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此表格主要研究者签字后，默认为研究者承诺此研究项目不涉及个人隐私和商业利益。</w:t>
            </w:r>
          </w:p>
          <w:p w14:paraId="01B778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2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获伦理批准后，在使用该研究参与者数据或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前应尝试联系研究参与者，如联系到该名研究参与者，应尽可能邀请其签署知情间意书后方可使用其数据或样本：如联系到研究参与者但其不愿当面签署书面知情同意书。应进行电话知情，获得口头同意方可使用其样本或数据：三次及以上联系不到研究参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，方可使用其样本或数据：以上过程均需保存记录.</w:t>
            </w:r>
          </w:p>
          <w:p w14:paraId="1635B7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9" w:after="0" w:line="360" w:lineRule="auto"/>
              <w:ind w:firstLine="223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2、勾选免除理由B</w:t>
            </w:r>
          </w:p>
          <w:p w14:paraId="645488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0" w:line="360" w:lineRule="auto"/>
              <w:ind w:right="2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需确认捐献样本或信息时所签署的知情同意书已经通过本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伦理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审查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委员会批准，否则视为无效；</w:t>
            </w:r>
          </w:p>
          <w:p w14:paraId="67A993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请提供伦理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审查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批件复印件、经批准的知情同意书样表、既往已签署知情同意书的研究参与者名单等附件，以供核对。</w:t>
            </w:r>
          </w:p>
          <w:p w14:paraId="197147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37"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必要时，伦理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审查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委员会将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求提供前次研究参与者签署的知情同意书复印件．</w:t>
            </w:r>
          </w:p>
        </w:tc>
      </w:tr>
      <w:tr w14:paraId="712049E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W w:w="88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EA1C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二、免除知情同意书签字（不适用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过）</w:t>
            </w:r>
          </w:p>
        </w:tc>
      </w:tr>
      <w:tr w14:paraId="6E5E185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5" w:hRule="atLeast"/>
        </w:trPr>
        <w:tc>
          <w:tcPr>
            <w:tcW w:w="88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DB6C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不大于最小风险，如通过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络工具、电话等进行问卷调查，已向研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参与者或监护人提供书面知情同章书或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得口头知用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，请说明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 w14:paraId="698103D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099B716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1CD7DFC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48EC166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56C038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当签署知情同意书会对研究参与者的隐私造成威胁，且联系研究参与者真实身份和研究的唯一记录是知情同意书，请说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明：</w:t>
            </w:r>
          </w:p>
          <w:p w14:paraId="60448DB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5232E78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4A596EA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724B89F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3D349C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5" w:hRule="atLeast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4FD18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="0"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主要研究者签名</w:t>
            </w: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8639D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3F5C3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C830F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6C472C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5" w:hRule="atLeast"/>
        </w:trPr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E85D2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="0"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受理人签名</w:t>
            </w: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FD6AB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47C8A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受理日期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17D9F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1" w:after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3EE04CE8">
      <w:pPr>
        <w:tabs>
          <w:tab w:val="left" w:pos="190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65937E26">
      <w:pPr>
        <w:keepNext w:val="0"/>
        <w:keepLines w:val="0"/>
        <w:pageBreakBefore w:val="0"/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6E46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2447925</wp:posOffset>
              </wp:positionH>
              <wp:positionV relativeFrom="paragraph">
                <wp:posOffset>-84455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BF434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75pt;margin-top:-6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Mjx+bZAAAACw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BBF434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E01F3">
    <w:pPr>
      <w:pStyle w:val="4"/>
      <w:pBdr>
        <w:bottom w:val="single" w:color="auto" w:sz="4" w:space="1"/>
      </w:pBdr>
      <w:rPr>
        <w:rFonts w:hint="default" w:ascii="Times New Roman" w:hAnsi="Times New Roman" w:cs="Times New Roman" w:eastAsiaTheme="minorEastAsia"/>
        <w:lang w:val="en-US" w:eastAsia="zh-CN"/>
      </w:rPr>
    </w:pPr>
    <w:r>
      <w:rPr>
        <w:rFonts w:hint="eastAsia"/>
        <w:lang w:val="en-US" w:eastAsia="zh-CN"/>
      </w:rPr>
      <w:t xml:space="preserve">北京市第二医院伦理审查委员会                                                            </w:t>
    </w:r>
    <w:r>
      <w:rPr>
        <w:rFonts w:hint="default" w:ascii="Times New Roman" w:hAnsi="Times New Roman" w:cs="Times New Roman"/>
        <w:lang w:val="en-US" w:eastAsia="zh-CN"/>
      </w:rPr>
      <w:t>AF/SS-0</w:t>
    </w:r>
    <w:r>
      <w:rPr>
        <w:rFonts w:hint="eastAsia" w:ascii="Times New Roman" w:hAnsi="Times New Roman" w:cs="Times New Roman"/>
        <w:lang w:val="en-US" w:eastAsia="zh-CN"/>
      </w:rPr>
      <w:t>5</w:t>
    </w:r>
    <w:r>
      <w:rPr>
        <w:rFonts w:hint="default" w:ascii="Times New Roman" w:hAnsi="Times New Roman" w:cs="Times New Roman"/>
        <w:lang w:val="en-US" w:eastAsia="zh-CN"/>
      </w:rPr>
      <w:t>/01.0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357B65"/>
    <w:multiLevelType w:val="singleLevel"/>
    <w:tmpl w:val="FA357B65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94F30"/>
    <w:rsid w:val="1A35442C"/>
    <w:rsid w:val="1D417A56"/>
    <w:rsid w:val="28DC1884"/>
    <w:rsid w:val="2B903106"/>
    <w:rsid w:val="30642EB4"/>
    <w:rsid w:val="3B7224CF"/>
    <w:rsid w:val="69D6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</Words>
  <Characters>10</Characters>
  <Lines>0</Lines>
  <Paragraphs>0</Paragraphs>
  <TotalTime>71</TotalTime>
  <ScaleCrop>false</ScaleCrop>
  <LinksUpToDate>false</LinksUpToDate>
  <CharactersWithSpaces>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2025-05-21T02:32:00Z</dcterms:created>
  <dc:creator>ruici</dc:creator>
  <cp:lastModifiedBy>佶</cp:lastModifiedBy>
  <dcterms:modified xsi:type="dcterms:W3CDTF">2025-05-26T05:13:43Z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eyJoZGlkIjoiNDI1NGQ4MDY4NjMxYWVlMzc3ODM2NDE0MmU1ODUxYzYiLCJ1c2VySWQiOiIyMjA3MjkzMDYifQ==</vt:lpwstr>
  </property>
  <property fmtid="{D5CDD505-2E9C-101B-9397-08002B2CF9AE}" pid="4" name="ICV">
    <vt:lpwstr>4E83D670113A4093B26C052B2B682CCB_12</vt:lpwstr>
  </property>
</Properties>
</file>